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78" w:rsidRDefault="00E635BD" w:rsidP="00A9789D">
      <w:pPr>
        <w:spacing w:before="120" w:after="120" w:line="240" w:lineRule="auto"/>
        <w:jc w:val="center"/>
        <w:rPr>
          <w:b/>
          <w:sz w:val="32"/>
          <w:szCs w:val="32"/>
        </w:rPr>
      </w:pPr>
      <w:r w:rsidRPr="003E1335">
        <w:rPr>
          <w:b/>
          <w:sz w:val="32"/>
          <w:szCs w:val="32"/>
        </w:rPr>
        <w:t xml:space="preserve">LEASE VARIATION CHARGE </w:t>
      </w:r>
      <w:r w:rsidR="005B6E78">
        <w:rPr>
          <w:b/>
          <w:sz w:val="32"/>
          <w:szCs w:val="32"/>
        </w:rPr>
        <w:t>DEFERRED PAYMENT SCHEME</w:t>
      </w:r>
    </w:p>
    <w:p w:rsidR="002035FE" w:rsidRPr="003E1335" w:rsidRDefault="005B6E78" w:rsidP="00A9789D">
      <w:pPr>
        <w:spacing w:before="120"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TERMS OF </w:t>
      </w:r>
      <w:r w:rsidR="00AC7652">
        <w:rPr>
          <w:b/>
          <w:sz w:val="32"/>
          <w:szCs w:val="32"/>
        </w:rPr>
        <w:t>PAYMENT</w:t>
      </w:r>
    </w:p>
    <w:p w:rsidR="002035FE" w:rsidRPr="003E1335" w:rsidRDefault="002035FE" w:rsidP="00A9789D">
      <w:pPr>
        <w:spacing w:before="120" w:after="120" w:line="240" w:lineRule="auto"/>
        <w:rPr>
          <w:b/>
        </w:rPr>
      </w:pPr>
    </w:p>
    <w:p w:rsidR="00EF7E51" w:rsidRPr="003E1335" w:rsidRDefault="00EF7E51" w:rsidP="00A9789D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E1335">
        <w:rPr>
          <w:b/>
        </w:rPr>
        <w:t xml:space="preserve">Preamble </w:t>
      </w:r>
    </w:p>
    <w:p w:rsidR="003D0AE7" w:rsidRDefault="00CF10AD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</w:pPr>
      <w:r>
        <w:t xml:space="preserve">The LVC is a charge that is payable </w:t>
      </w:r>
      <w:r w:rsidR="003D0AE7">
        <w:t xml:space="preserve">by a lessee </w:t>
      </w:r>
      <w:r>
        <w:t xml:space="preserve">under Division 9.6.3 of the </w:t>
      </w:r>
      <w:r w:rsidRPr="0014263E">
        <w:t>Planning and Development Act</w:t>
      </w:r>
      <w:r w:rsidR="003D0AE7">
        <w:t xml:space="preserve"> </w:t>
      </w:r>
      <w:r w:rsidR="0058617C">
        <w:t>on</w:t>
      </w:r>
      <w:r w:rsidR="003D0AE7">
        <w:t xml:space="preserve"> a variation of a nominal rent lease. Division 9.6.3 is a tax law </w:t>
      </w:r>
      <w:r w:rsidR="0058617C">
        <w:t xml:space="preserve">for the purposes of </w:t>
      </w:r>
      <w:r w:rsidR="003D0AE7">
        <w:t xml:space="preserve">the </w:t>
      </w:r>
      <w:r w:rsidRPr="0014263E">
        <w:t>Taxation Administration Act</w:t>
      </w:r>
      <w:r w:rsidR="003D0AE7">
        <w:t xml:space="preserve"> and that Act applies </w:t>
      </w:r>
      <w:r w:rsidR="0058617C">
        <w:t>as if the LVC is</w:t>
      </w:r>
      <w:r w:rsidR="003D0AE7">
        <w:t xml:space="preserve"> a tax payable by the lessee.</w:t>
      </w:r>
    </w:p>
    <w:p w:rsidR="00E74306" w:rsidRDefault="00E74306" w:rsidP="004C0D94">
      <w:pPr>
        <w:pStyle w:val="ListParagraph"/>
        <w:autoSpaceDE w:val="0"/>
        <w:autoSpaceDN w:val="0"/>
        <w:adjustRightInd w:val="0"/>
        <w:spacing w:before="120" w:after="120" w:line="240" w:lineRule="auto"/>
        <w:ind w:left="425"/>
      </w:pPr>
    </w:p>
    <w:p w:rsidR="00CF10AD" w:rsidRDefault="0058617C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</w:pPr>
      <w:r>
        <w:t>Section 27B(1) of the Planning and Development Act provides that the planning and land authority must not execute a chargeable variation of a nominal rent lease unless the LVC for the variation has been paid to the Territory, or a deferral arrangement in relation to the charge has been entered into.</w:t>
      </w:r>
      <w:r w:rsidR="003D0AE7">
        <w:t xml:space="preserve">   </w:t>
      </w:r>
      <w:r w:rsidR="00CF10AD">
        <w:t xml:space="preserve">  </w:t>
      </w:r>
    </w:p>
    <w:p w:rsidR="00E74306" w:rsidRDefault="00E74306" w:rsidP="004C0D94">
      <w:pPr>
        <w:pStyle w:val="ListParagraph"/>
        <w:autoSpaceDE w:val="0"/>
        <w:autoSpaceDN w:val="0"/>
        <w:adjustRightInd w:val="0"/>
        <w:spacing w:before="120" w:after="120" w:line="240" w:lineRule="auto"/>
        <w:ind w:left="425"/>
      </w:pPr>
    </w:p>
    <w:p w:rsidR="00E74306" w:rsidRDefault="00E74306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</w:pPr>
      <w:r>
        <w:t>A lessee has the option to pay the LVC upfront</w:t>
      </w:r>
      <w:r w:rsidR="00A339D1">
        <w:t xml:space="preserve"> before a lease variation is executed</w:t>
      </w:r>
      <w:r>
        <w:t xml:space="preserve">, or to </w:t>
      </w:r>
      <w:r w:rsidR="006A5679">
        <w:t>apply for</w:t>
      </w:r>
      <w:r>
        <w:t xml:space="preserve"> approval for a deferred payment of LVC</w:t>
      </w:r>
      <w:r w:rsidR="00A339D1">
        <w:t xml:space="preserve"> under the LVC Deferred Payment Scheme</w:t>
      </w:r>
      <w:r>
        <w:t>.</w:t>
      </w:r>
    </w:p>
    <w:p w:rsidR="00E74306" w:rsidRDefault="00E74306" w:rsidP="004C0D94">
      <w:pPr>
        <w:pStyle w:val="ListParagraph"/>
        <w:autoSpaceDE w:val="0"/>
        <w:autoSpaceDN w:val="0"/>
        <w:adjustRightInd w:val="0"/>
        <w:spacing w:before="120" w:after="120" w:line="240" w:lineRule="auto"/>
        <w:ind w:left="425"/>
      </w:pPr>
    </w:p>
    <w:p w:rsidR="00F41528" w:rsidRPr="003E1335" w:rsidRDefault="00EF7E51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</w:pPr>
      <w:r w:rsidRPr="003E1335">
        <w:t>Pursuant to section</w:t>
      </w:r>
      <w:r w:rsidR="00F41528" w:rsidRPr="003E1335">
        <w:t xml:space="preserve"> 279AB</w:t>
      </w:r>
      <w:r w:rsidR="00E47C5B">
        <w:t>(1)</w:t>
      </w:r>
      <w:r w:rsidR="00F41528" w:rsidRPr="003E1335">
        <w:t xml:space="preserve"> of the </w:t>
      </w:r>
      <w:r w:rsidR="00E635BD" w:rsidRPr="004C0D94">
        <w:t>Planning and Development Act</w:t>
      </w:r>
      <w:r w:rsidR="00E635BD" w:rsidRPr="003E1335">
        <w:t>,</w:t>
      </w:r>
      <w:r w:rsidR="00F41528" w:rsidRPr="003E1335">
        <w:t xml:space="preserve"> the Commissioner </w:t>
      </w:r>
      <w:r w:rsidR="005B6E78">
        <w:t xml:space="preserve"> </w:t>
      </w:r>
      <w:r w:rsidR="00F41528" w:rsidRPr="003E1335">
        <w:t xml:space="preserve">must approve an application to defer </w:t>
      </w:r>
      <w:r w:rsidR="00EC5F97" w:rsidRPr="003E1335">
        <w:t xml:space="preserve">the </w:t>
      </w:r>
      <w:r w:rsidR="00F41528" w:rsidRPr="003E1335">
        <w:t xml:space="preserve">payment of </w:t>
      </w:r>
      <w:r w:rsidR="00E47C5B">
        <w:t>LVC</w:t>
      </w:r>
      <w:r w:rsidR="00F41528" w:rsidRPr="003E1335">
        <w:t xml:space="preserve"> if satisfied that: </w:t>
      </w:r>
    </w:p>
    <w:p w:rsidR="00EF7E51" w:rsidRPr="003E1335" w:rsidRDefault="00F41528" w:rsidP="00A97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120" w:line="240" w:lineRule="auto"/>
        <w:ind w:left="850" w:hanging="425"/>
        <w:contextualSpacing w:val="0"/>
      </w:pPr>
      <w:r w:rsidRPr="003E1335">
        <w:t>the applica</w:t>
      </w:r>
      <w:r w:rsidR="00926666">
        <w:t>nt</w:t>
      </w:r>
      <w:r w:rsidRPr="003E1335">
        <w:t xml:space="preserve"> for a development application for a chargeable variation of nominal rent lease is given a notice of assessment of </w:t>
      </w:r>
      <w:r w:rsidR="00E47C5B">
        <w:t>LVC</w:t>
      </w:r>
      <w:r w:rsidRPr="003E1335">
        <w:t>;</w:t>
      </w:r>
    </w:p>
    <w:p w:rsidR="00F41528" w:rsidRPr="003E1335" w:rsidRDefault="00F41528" w:rsidP="00A97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0" w:hanging="425"/>
        <w:contextualSpacing w:val="0"/>
      </w:pPr>
      <w:r w:rsidRPr="003E1335">
        <w:t xml:space="preserve">the </w:t>
      </w:r>
      <w:r w:rsidR="00507F91" w:rsidRPr="003E1335">
        <w:t xml:space="preserve">amount of the </w:t>
      </w:r>
      <w:r w:rsidR="00CF10AD">
        <w:t>LVC</w:t>
      </w:r>
      <w:r w:rsidRPr="003E1335">
        <w:t xml:space="preserve"> to be deferred is </w:t>
      </w:r>
      <w:r w:rsidR="00507F91" w:rsidRPr="003E1335">
        <w:t>a</w:t>
      </w:r>
      <w:r w:rsidR="00CF10AD">
        <w:t>t least $100,000, or a</w:t>
      </w:r>
      <w:r w:rsidR="00E47C5B">
        <w:t>n amount</w:t>
      </w:r>
      <w:r w:rsidRPr="003E1335">
        <w:t xml:space="preserve"> </w:t>
      </w:r>
      <w:r w:rsidR="00A339D1">
        <w:t xml:space="preserve">that is </w:t>
      </w:r>
      <w:r w:rsidR="00507F91" w:rsidRPr="003E1335">
        <w:t>determined</w:t>
      </w:r>
      <w:r w:rsidR="00E47C5B">
        <w:t xml:space="preserve"> by the Treasurer</w:t>
      </w:r>
      <w:r w:rsidRPr="003E1335">
        <w:t>;</w:t>
      </w:r>
      <w:r w:rsidR="009A1BA9">
        <w:t xml:space="preserve"> and</w:t>
      </w:r>
    </w:p>
    <w:p w:rsidR="00F41528" w:rsidRDefault="00F41528" w:rsidP="00A97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0" w:hanging="425"/>
        <w:contextualSpacing w:val="0"/>
      </w:pPr>
      <w:proofErr w:type="gramStart"/>
      <w:r w:rsidRPr="003E1335">
        <w:t>the</w:t>
      </w:r>
      <w:proofErr w:type="gramEnd"/>
      <w:r w:rsidRPr="003E1335">
        <w:t xml:space="preserve"> applicant satisfies any other criteria</w:t>
      </w:r>
      <w:r w:rsidR="00A339D1">
        <w:t xml:space="preserve"> that is</w:t>
      </w:r>
      <w:r w:rsidR="00CF10AD">
        <w:t xml:space="preserve"> </w:t>
      </w:r>
      <w:r w:rsidRPr="003E1335">
        <w:t>determined by the Treasurer</w:t>
      </w:r>
      <w:r w:rsidR="00B74498" w:rsidRPr="00B74498">
        <w:t xml:space="preserve"> </w:t>
      </w:r>
      <w:r w:rsidR="00B74498">
        <w:t>in the Deferred Payment Scheme Determination</w:t>
      </w:r>
      <w:r w:rsidRPr="003E1335">
        <w:t>.</w:t>
      </w:r>
    </w:p>
    <w:p w:rsidR="00F41528" w:rsidRPr="003E1335" w:rsidRDefault="00F41528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</w:pPr>
      <w:r w:rsidRPr="003E1335">
        <w:t>An approval</w:t>
      </w:r>
      <w:r w:rsidR="00CF10AD">
        <w:t xml:space="preserve"> of the Commissioner </w:t>
      </w:r>
      <w:r w:rsidR="00A339D1">
        <w:t xml:space="preserve">of </w:t>
      </w:r>
      <w:r w:rsidR="00CF10AD">
        <w:t>an application to defer</w:t>
      </w:r>
      <w:r w:rsidR="00A339D1">
        <w:t xml:space="preserve"> the payment of LVC</w:t>
      </w:r>
      <w:r w:rsidR="009A3100">
        <w:t xml:space="preserve"> </w:t>
      </w:r>
      <w:r w:rsidRPr="003E1335">
        <w:t xml:space="preserve">under section 279AB(1) of the </w:t>
      </w:r>
      <w:r w:rsidR="00E635BD" w:rsidRPr="003E1335">
        <w:t>Planning and Development</w:t>
      </w:r>
      <w:r w:rsidRPr="003E1335">
        <w:t xml:space="preserve"> Act is subject to the applicant entering into an arrangement </w:t>
      </w:r>
      <w:r w:rsidR="0092724C">
        <w:t xml:space="preserve">under section 52 of the Taxation Administration Act </w:t>
      </w:r>
      <w:r w:rsidR="00A339D1">
        <w:t>with the Commissioner</w:t>
      </w:r>
      <w:r w:rsidR="009A3100">
        <w:t xml:space="preserve"> for </w:t>
      </w:r>
      <w:r w:rsidRPr="003E1335">
        <w:t>the payment of the amount of the deferred lease variation charge.</w:t>
      </w:r>
      <w:r w:rsidR="00CF10AD">
        <w:t xml:space="preserve"> </w:t>
      </w:r>
    </w:p>
    <w:p w:rsidR="00E635BD" w:rsidRPr="003E1335" w:rsidRDefault="00E635BD" w:rsidP="00A9789D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</w:pPr>
    </w:p>
    <w:p w:rsidR="008738C8" w:rsidRPr="003E1335" w:rsidRDefault="009A29E0" w:rsidP="004D0E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</w:pPr>
      <w:r>
        <w:t>The LVC</w:t>
      </w:r>
      <w:r w:rsidR="006A5679">
        <w:t xml:space="preserve"> and</w:t>
      </w:r>
      <w:r w:rsidR="004D0E6D">
        <w:t xml:space="preserve"> other amounts payable under Division 9.6.3 of the Planning and Development Act</w:t>
      </w:r>
      <w:r>
        <w:t xml:space="preserve"> </w:t>
      </w:r>
      <w:r w:rsidR="004D0E6D">
        <w:t>are</w:t>
      </w:r>
      <w:r w:rsidR="00E635BD" w:rsidRPr="003E1335">
        <w:t xml:space="preserve"> debt</w:t>
      </w:r>
      <w:r w:rsidR="004D0E6D">
        <w:t>s</w:t>
      </w:r>
      <w:r w:rsidR="00E635BD" w:rsidRPr="003E1335">
        <w:t xml:space="preserve"> owing to the </w:t>
      </w:r>
      <w:r w:rsidR="009562DE">
        <w:t xml:space="preserve">Territory </w:t>
      </w:r>
      <w:r w:rsidR="00E635BD" w:rsidRPr="003E1335">
        <w:t xml:space="preserve">and under section 56H of the Taxation Administration Act </w:t>
      </w:r>
      <w:r w:rsidR="004D0E6D">
        <w:t>give</w:t>
      </w:r>
      <w:r w:rsidR="009562DE">
        <w:t>s</w:t>
      </w:r>
      <w:r w:rsidR="004D0E6D">
        <w:t xml:space="preserve"> rise to</w:t>
      </w:r>
      <w:r w:rsidR="00E635BD" w:rsidRPr="003E1335">
        <w:t xml:space="preserve"> a charge on land</w:t>
      </w:r>
      <w:r w:rsidR="00ED1C00" w:rsidRPr="003E1335">
        <w:t xml:space="preserve"> </w:t>
      </w:r>
      <w:r w:rsidR="006B46E4" w:rsidRPr="003E1335">
        <w:t xml:space="preserve">the subject of the lease variation </w:t>
      </w:r>
      <w:r w:rsidR="00ED1C00" w:rsidRPr="003E1335">
        <w:t>that takes priority over other interests such as a sale, conveyance, transfer, mortgage, charge, lien or encumbrance</w:t>
      </w:r>
      <w:r w:rsidR="00E635BD" w:rsidRPr="003E1335">
        <w:t>.</w:t>
      </w:r>
    </w:p>
    <w:p w:rsidR="00A84061" w:rsidRDefault="00A84061" w:rsidP="004C0D94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</w:pPr>
    </w:p>
    <w:p w:rsidR="009E08DB" w:rsidRDefault="00ED1C00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</w:pPr>
      <w:r w:rsidRPr="003E1335">
        <w:t xml:space="preserve">For lease variations </w:t>
      </w:r>
      <w:r w:rsidR="00926666">
        <w:t>where</w:t>
      </w:r>
      <w:r w:rsidRPr="003E1335">
        <w:t xml:space="preserve"> a remission</w:t>
      </w:r>
      <w:r w:rsidR="00926666">
        <w:t xml:space="preserve"> in lease variation charge is claimed</w:t>
      </w:r>
      <w:r w:rsidRPr="003E1335">
        <w:t xml:space="preserve"> for </w:t>
      </w:r>
      <w:r w:rsidR="005703E1">
        <w:t>energy efficient</w:t>
      </w:r>
      <w:r w:rsidR="005703E1" w:rsidRPr="003E1335">
        <w:t xml:space="preserve"> </w:t>
      </w:r>
      <w:r w:rsidRPr="003E1335">
        <w:t>buildings</w:t>
      </w:r>
      <w:r w:rsidR="009E08DB" w:rsidRPr="003E1335">
        <w:t>,</w:t>
      </w:r>
      <w:r w:rsidR="00507F91" w:rsidRPr="003E1335">
        <w:t xml:space="preserve"> it is a requirement of </w:t>
      </w:r>
      <w:r w:rsidR="009A3100">
        <w:t xml:space="preserve">the </w:t>
      </w:r>
      <w:r w:rsidR="00507F91" w:rsidRPr="003E1335">
        <w:t>Environmental Sustainability Determination 2018 that</w:t>
      </w:r>
      <w:r w:rsidR="009E08DB" w:rsidRPr="003E1335">
        <w:t xml:space="preserve"> an applicant must enter into a deferral arrangement with the Commissioner.</w:t>
      </w:r>
    </w:p>
    <w:p w:rsidR="00EA258A" w:rsidRDefault="00EA258A" w:rsidP="004C0D94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</w:pPr>
    </w:p>
    <w:p w:rsidR="00EA258A" w:rsidRPr="003E1335" w:rsidRDefault="009562DE" w:rsidP="00A97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</w:pPr>
      <w:r>
        <w:t>This arrangement sets out the</w:t>
      </w:r>
      <w:r w:rsidR="006A5679" w:rsidRPr="003E1335">
        <w:t xml:space="preserve"> conditions</w:t>
      </w:r>
      <w:r>
        <w:t xml:space="preserve"> of payment</w:t>
      </w:r>
      <w:r w:rsidR="006A5679" w:rsidRPr="003E1335">
        <w:t xml:space="preserve"> </w:t>
      </w:r>
      <w:r>
        <w:t xml:space="preserve">for the deferral arrangement </w:t>
      </w:r>
      <w:r w:rsidR="005703E1">
        <w:t xml:space="preserve">under section 279AC of the Planning and Development Act </w:t>
      </w:r>
      <w:r>
        <w:t>and include</w:t>
      </w:r>
      <w:r w:rsidR="00782D79">
        <w:t>s</w:t>
      </w:r>
      <w:r>
        <w:t xml:space="preserve"> conditions for the re-payment </w:t>
      </w:r>
      <w:proofErr w:type="gramStart"/>
      <w:r>
        <w:t>of</w:t>
      </w:r>
      <w:proofErr w:type="gramEnd"/>
      <w:r>
        <w:t xml:space="preserve"> LVC </w:t>
      </w:r>
      <w:r w:rsidR="00782D79">
        <w:t xml:space="preserve">if the requirements of the Environmental Sustainability Determination </w:t>
      </w:r>
      <w:r>
        <w:t xml:space="preserve">for </w:t>
      </w:r>
      <w:r w:rsidR="00285400">
        <w:t>energy efficient</w:t>
      </w:r>
      <w:r>
        <w:t xml:space="preserve"> buildings</w:t>
      </w:r>
      <w:r w:rsidR="00285400">
        <w:t xml:space="preserve"> are not met</w:t>
      </w:r>
      <w:r w:rsidR="00782D79">
        <w:t>.</w:t>
      </w:r>
      <w:r>
        <w:t xml:space="preserve"> </w:t>
      </w:r>
    </w:p>
    <w:p w:rsidR="00C32386" w:rsidRPr="003E1335" w:rsidRDefault="00C32386" w:rsidP="00A9789D">
      <w:pPr>
        <w:pStyle w:val="ListParagraph"/>
        <w:spacing w:before="120" w:after="120" w:line="240" w:lineRule="auto"/>
      </w:pPr>
    </w:p>
    <w:p w:rsidR="00917CE1" w:rsidRPr="003E1335" w:rsidRDefault="00F10B74" w:rsidP="00A9789D">
      <w:pPr>
        <w:spacing w:before="120" w:after="120" w:line="240" w:lineRule="auto"/>
        <w:rPr>
          <w:b/>
        </w:rPr>
      </w:pPr>
      <w:r w:rsidRPr="003E1335">
        <w:rPr>
          <w:b/>
        </w:rPr>
        <w:t>Terms and conditions</w:t>
      </w:r>
      <w:r w:rsidR="005703E1">
        <w:rPr>
          <w:b/>
        </w:rPr>
        <w:t xml:space="preserve"> of payment</w:t>
      </w:r>
    </w:p>
    <w:p w:rsidR="00960717" w:rsidRPr="003E1335" w:rsidRDefault="00782D79" w:rsidP="00A9789D">
      <w:pPr>
        <w:spacing w:before="120" w:after="120" w:line="240" w:lineRule="auto"/>
      </w:pPr>
      <w:r>
        <w:t>By entering into this arrangement, t</w:t>
      </w:r>
      <w:r w:rsidR="00960717" w:rsidRPr="003E1335">
        <w:t>he applicant agrees to the following terms and conditions</w:t>
      </w:r>
      <w:r w:rsidR="005703E1">
        <w:t>.</w:t>
      </w:r>
    </w:p>
    <w:p w:rsidR="00917CE1" w:rsidRPr="003E1335" w:rsidRDefault="003A60DF" w:rsidP="00955088">
      <w:pPr>
        <w:spacing w:before="120" w:after="200" w:line="240" w:lineRule="auto"/>
        <w:rPr>
          <w:b/>
          <w:i/>
        </w:rPr>
      </w:pPr>
      <w:r w:rsidRPr="003E1335">
        <w:rPr>
          <w:b/>
          <w:i/>
        </w:rPr>
        <w:lastRenderedPageBreak/>
        <w:t>Deferred</w:t>
      </w:r>
      <w:r w:rsidR="00917CE1" w:rsidRPr="003E1335">
        <w:rPr>
          <w:b/>
          <w:i/>
        </w:rPr>
        <w:t xml:space="preserve"> amount </w:t>
      </w:r>
    </w:p>
    <w:p w:rsidR="00917CE1" w:rsidRPr="003E1335" w:rsidRDefault="00917CE1" w:rsidP="00A9789D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3E1335">
        <w:t xml:space="preserve">The </w:t>
      </w:r>
      <w:r w:rsidR="003A60DF" w:rsidRPr="003E1335">
        <w:t xml:space="preserve">deferred </w:t>
      </w:r>
      <w:r w:rsidRPr="003E1335">
        <w:t xml:space="preserve">amount is </w:t>
      </w:r>
      <w:r w:rsidR="004E5192" w:rsidRPr="003E1335">
        <w:t>made up</w:t>
      </w:r>
      <w:r w:rsidRPr="003E1335">
        <w:t xml:space="preserve"> of:</w:t>
      </w:r>
    </w:p>
    <w:p w:rsidR="00917CE1" w:rsidRPr="003E1335" w:rsidRDefault="000F3538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3E1335">
        <w:t>T</w:t>
      </w:r>
      <w:r w:rsidR="00917CE1" w:rsidRPr="003E1335">
        <w:t xml:space="preserve">he amount of the </w:t>
      </w:r>
      <w:r w:rsidR="00782D79">
        <w:t xml:space="preserve">LVC </w:t>
      </w:r>
      <w:r w:rsidR="00EC5F97" w:rsidRPr="003E1335">
        <w:t xml:space="preserve">payable </w:t>
      </w:r>
      <w:r w:rsidR="005703E1">
        <w:t>described</w:t>
      </w:r>
      <w:r w:rsidR="00547F86" w:rsidRPr="003E1335">
        <w:t xml:space="preserve"> in the notice of assessment given to an applicant under section 276D of the Planning and Development Act</w:t>
      </w:r>
      <w:r w:rsidR="00917CE1" w:rsidRPr="003E1335">
        <w:t xml:space="preserve">; </w:t>
      </w:r>
    </w:p>
    <w:p w:rsidR="004E5192" w:rsidRPr="003E1335" w:rsidRDefault="000F3538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3E1335">
        <w:t>A</w:t>
      </w:r>
      <w:r w:rsidR="00917CE1" w:rsidRPr="003E1335">
        <w:t>ny increase or decrease in th</w:t>
      </w:r>
      <w:r w:rsidR="004E5192" w:rsidRPr="003E1335">
        <w:t>e</w:t>
      </w:r>
      <w:r w:rsidR="00917CE1" w:rsidRPr="003E1335">
        <w:t xml:space="preserve"> amount</w:t>
      </w:r>
      <w:r w:rsidR="004E5192" w:rsidRPr="003E1335">
        <w:t xml:space="preserve"> in</w:t>
      </w:r>
      <w:r w:rsidR="00F85285">
        <w:t xml:space="preserve"> clause</w:t>
      </w:r>
      <w:r w:rsidR="004E5192" w:rsidRPr="003E1335">
        <w:t xml:space="preserve"> 1.1</w:t>
      </w:r>
      <w:r w:rsidR="00917CE1" w:rsidRPr="003E1335">
        <w:t xml:space="preserve"> because of a reconsideration, reassessment or review under </w:t>
      </w:r>
      <w:r w:rsidR="00782D79">
        <w:t xml:space="preserve">section 279AD of </w:t>
      </w:r>
      <w:r w:rsidR="00917CE1" w:rsidRPr="003E1335">
        <w:t>the Planning and Development Act or the Taxation Administration Act</w:t>
      </w:r>
      <w:r w:rsidR="004E5192" w:rsidRPr="003E1335">
        <w:t>;</w:t>
      </w:r>
      <w:r w:rsidR="00480DB4" w:rsidRPr="003E1335">
        <w:t xml:space="preserve"> </w:t>
      </w:r>
    </w:p>
    <w:p w:rsidR="000000C0" w:rsidRPr="003E1335" w:rsidRDefault="005703E1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>
        <w:t>A</w:t>
      </w:r>
      <w:r w:rsidR="000000C0" w:rsidRPr="003E1335">
        <w:t xml:space="preserve">ny </w:t>
      </w:r>
      <w:r w:rsidR="000428EA" w:rsidRPr="003E1335">
        <w:t>applicable remission amount;</w:t>
      </w:r>
      <w:r w:rsidR="000000C0" w:rsidRPr="003E1335">
        <w:t xml:space="preserve"> </w:t>
      </w:r>
      <w:r w:rsidR="00480DB4" w:rsidRPr="003E1335">
        <w:t>and</w:t>
      </w:r>
    </w:p>
    <w:p w:rsidR="000000C0" w:rsidRPr="00AC7652" w:rsidRDefault="000F3538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3E1335">
        <w:t>A</w:t>
      </w:r>
      <w:r w:rsidR="004E5192" w:rsidRPr="003E1335">
        <w:t xml:space="preserve">ny </w:t>
      </w:r>
      <w:r w:rsidR="004E5192" w:rsidRPr="00AC7652">
        <w:t xml:space="preserve">interest that accrues </w:t>
      </w:r>
      <w:r w:rsidRPr="00AC7652">
        <w:t>in respect of the</w:t>
      </w:r>
      <w:r w:rsidR="004E5192" w:rsidRPr="00AC7652">
        <w:t xml:space="preserve"> amount</w:t>
      </w:r>
      <w:r w:rsidR="00547F86" w:rsidRPr="00AC7652">
        <w:t>s</w:t>
      </w:r>
      <w:r w:rsidR="004E5192" w:rsidRPr="00AC7652">
        <w:t xml:space="preserve"> in </w:t>
      </w:r>
      <w:r w:rsidR="00E5525F" w:rsidRPr="00AC7652">
        <w:t xml:space="preserve">clauses </w:t>
      </w:r>
      <w:r w:rsidR="004E5192" w:rsidRPr="00AC7652">
        <w:t>1.1</w:t>
      </w:r>
      <w:r w:rsidR="005703E1" w:rsidRPr="00AC7652">
        <w:t>, 1.2</w:t>
      </w:r>
      <w:r w:rsidR="006B1DD8" w:rsidRPr="00AC7652">
        <w:t xml:space="preserve"> and</w:t>
      </w:r>
      <w:r w:rsidR="004E5192" w:rsidRPr="00AC7652">
        <w:t xml:space="preserve"> 1.</w:t>
      </w:r>
      <w:r w:rsidR="005703E1" w:rsidRPr="00AC7652">
        <w:t>3</w:t>
      </w:r>
      <w:r w:rsidR="00547F86" w:rsidRPr="00AC7652">
        <w:t>, at the rate and in the manner de</w:t>
      </w:r>
      <w:r w:rsidR="00D61074" w:rsidRPr="00AC7652">
        <w:t>scribed in the Deferred Payment Scheme Det</w:t>
      </w:r>
      <w:r w:rsidR="00547F86" w:rsidRPr="00AC7652">
        <w:t>ermin</w:t>
      </w:r>
      <w:r w:rsidR="00D61074" w:rsidRPr="00AC7652">
        <w:t>ation</w:t>
      </w:r>
      <w:r w:rsidR="000000C0" w:rsidRPr="00AC7652">
        <w:t>.</w:t>
      </w:r>
    </w:p>
    <w:p w:rsidR="001A2917" w:rsidRPr="00AC7652" w:rsidRDefault="001A2917" w:rsidP="001A2917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t xml:space="preserve">Interest </w:t>
      </w:r>
    </w:p>
    <w:p w:rsidR="00A84061" w:rsidRPr="00AC7652" w:rsidRDefault="001A2917" w:rsidP="00A84061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The interest rate applicable </w:t>
      </w:r>
      <w:r w:rsidR="00A97A47" w:rsidRPr="00AC7652">
        <w:t>is comprised of</w:t>
      </w:r>
      <w:r w:rsidRPr="00AC7652">
        <w:t xml:space="preserve"> the </w:t>
      </w:r>
      <w:r w:rsidR="00C04E54">
        <w:t xml:space="preserve">monthly average of the </w:t>
      </w:r>
      <w:r w:rsidRPr="00AC7652">
        <w:t>3-month bank bill swap rate</w:t>
      </w:r>
      <w:r w:rsidR="00C04E54">
        <w:t>, as published by the Reserve Bank of Australia,</w:t>
      </w:r>
      <w:r w:rsidRPr="00AC7652">
        <w:t xml:space="preserve"> plus 1.8 percentage points per annum. Th</w:t>
      </w:r>
      <w:r w:rsidR="00FB3C78" w:rsidRPr="00AC7652">
        <w:t>e bank bill swap</w:t>
      </w:r>
      <w:r w:rsidRPr="00AC7652">
        <w:t xml:space="preserve"> rate is </w:t>
      </w:r>
      <w:r w:rsidR="00FB3C78" w:rsidRPr="00AC7652">
        <w:t>adjusted bi-annually in January and July each year.</w:t>
      </w:r>
    </w:p>
    <w:p w:rsidR="001A2917" w:rsidRPr="00AC7652" w:rsidRDefault="001A2917" w:rsidP="004C0D94">
      <w:pPr>
        <w:pStyle w:val="ListParagraph"/>
        <w:ind w:left="426"/>
      </w:pPr>
    </w:p>
    <w:p w:rsidR="00FB3C78" w:rsidRPr="00AC7652" w:rsidRDefault="001A2917" w:rsidP="009E2329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Interest will be calculated on the deferred amount </w:t>
      </w:r>
      <w:r w:rsidR="00A97A47" w:rsidRPr="00AC7652">
        <w:t xml:space="preserve">at the determined rate </w:t>
      </w:r>
      <w:r w:rsidRPr="00AC7652">
        <w:t xml:space="preserve">and </w:t>
      </w:r>
      <w:r w:rsidR="00FB3C78" w:rsidRPr="00AC7652">
        <w:t>accrues</w:t>
      </w:r>
      <w:r w:rsidRPr="00AC7652">
        <w:t xml:space="preserve"> on a monthly basis </w:t>
      </w:r>
      <w:r w:rsidR="00FB3C78" w:rsidRPr="00AC7652">
        <w:t>on the first day of the month. It is payable</w:t>
      </w:r>
      <w:r w:rsidR="00DE170A" w:rsidRPr="00AC7652">
        <w:t xml:space="preserve"> by the applicant</w:t>
      </w:r>
      <w:r w:rsidRPr="00AC7652">
        <w:t xml:space="preserve"> from the date of th</w:t>
      </w:r>
      <w:r w:rsidR="00C06EE9" w:rsidRPr="00AC7652">
        <w:t>e execution of the lease variation</w:t>
      </w:r>
      <w:r w:rsidRPr="00AC7652">
        <w:t xml:space="preserve"> until the date payment of the deferred amount is made in full. </w:t>
      </w:r>
    </w:p>
    <w:p w:rsidR="00060F7C" w:rsidRPr="00AC7652" w:rsidRDefault="00060F7C" w:rsidP="00382791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t xml:space="preserve">Payment </w:t>
      </w:r>
      <w:r w:rsidR="00541670" w:rsidRPr="00AC7652">
        <w:rPr>
          <w:b/>
          <w:i/>
        </w:rPr>
        <w:t>terms</w:t>
      </w:r>
    </w:p>
    <w:p w:rsidR="00C32386" w:rsidRPr="00AC7652" w:rsidRDefault="00C32386" w:rsidP="00021CFC">
      <w:pPr>
        <w:pStyle w:val="ListParagraph"/>
        <w:numPr>
          <w:ilvl w:val="0"/>
          <w:numId w:val="6"/>
        </w:numPr>
        <w:spacing w:before="120" w:after="120" w:line="240" w:lineRule="auto"/>
        <w:ind w:left="425" w:hanging="425"/>
      </w:pPr>
      <w:r w:rsidRPr="00AC7652">
        <w:t>The</w:t>
      </w:r>
      <w:r w:rsidR="00DE170A" w:rsidRPr="00AC7652">
        <w:t xml:space="preserve"> applicant must pay the</w:t>
      </w:r>
      <w:r w:rsidRPr="00AC7652">
        <w:t xml:space="preserve"> </w:t>
      </w:r>
      <w:r w:rsidR="003A60DF" w:rsidRPr="00AC7652">
        <w:t xml:space="preserve">deferred </w:t>
      </w:r>
      <w:r w:rsidRPr="00AC7652">
        <w:t>amount to the Commissioner no later than the earlier of:</w:t>
      </w:r>
    </w:p>
    <w:p w:rsidR="00C32386" w:rsidRPr="00AC7652" w:rsidRDefault="008B15BE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AC7652">
        <w:t>T</w:t>
      </w:r>
      <w:r w:rsidR="00C32386" w:rsidRPr="00AC7652">
        <w:t>he date a certificate of occupancy is issued for part of the building work</w:t>
      </w:r>
      <w:r w:rsidRPr="00AC7652">
        <w:t xml:space="preserve"> for the development to which the lease variation relates</w:t>
      </w:r>
      <w:r w:rsidR="00E5525F" w:rsidRPr="00AC7652">
        <w:t>,</w:t>
      </w:r>
      <w:r w:rsidR="00FD4F80" w:rsidRPr="00AC7652">
        <w:t xml:space="preserve"> </w:t>
      </w:r>
      <w:r w:rsidR="00E5525F" w:rsidRPr="00AC7652">
        <w:t xml:space="preserve">if </w:t>
      </w:r>
      <w:r w:rsidR="00662B0A" w:rsidRPr="00AC7652">
        <w:t>stated</w:t>
      </w:r>
      <w:r w:rsidR="00FD4F80" w:rsidRPr="00AC7652">
        <w:t xml:space="preserve"> in th</w:t>
      </w:r>
      <w:r w:rsidR="00741C5F" w:rsidRPr="00AC7652">
        <w:t>e Schedule</w:t>
      </w:r>
      <w:r w:rsidRPr="00AC7652">
        <w:t>; or</w:t>
      </w:r>
    </w:p>
    <w:p w:rsidR="008B15BE" w:rsidRPr="00AC7652" w:rsidRDefault="008B15BE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AC7652">
        <w:t>The date a certificate of occupancy is issued for all of the building work for the development to which the lease variation relates; or</w:t>
      </w:r>
    </w:p>
    <w:p w:rsidR="008B15BE" w:rsidRPr="00AC7652" w:rsidRDefault="008B15BE" w:rsidP="00DE170A">
      <w:pPr>
        <w:pStyle w:val="ListParagraph"/>
        <w:numPr>
          <w:ilvl w:val="1"/>
          <w:numId w:val="6"/>
        </w:numPr>
        <w:spacing w:before="200" w:after="120" w:line="240" w:lineRule="auto"/>
        <w:ind w:left="1134" w:hanging="708"/>
        <w:contextualSpacing w:val="0"/>
      </w:pPr>
      <w:r w:rsidRPr="00AC7652">
        <w:t xml:space="preserve">Four (4) years from the date of </w:t>
      </w:r>
      <w:r w:rsidR="00670F62" w:rsidRPr="00AC7652">
        <w:t>the</w:t>
      </w:r>
      <w:r w:rsidR="00C04E54">
        <w:t xml:space="preserve"> execution of the</w:t>
      </w:r>
      <w:r w:rsidR="00670F62" w:rsidRPr="00AC7652">
        <w:t xml:space="preserve"> lease variation</w:t>
      </w:r>
      <w:r w:rsidRPr="00AC7652">
        <w:t>.</w:t>
      </w:r>
      <w:r w:rsidR="00A97A47" w:rsidRPr="00AC7652">
        <w:t xml:space="preserve"> </w:t>
      </w:r>
    </w:p>
    <w:p w:rsidR="00DE170A" w:rsidRPr="00AC7652" w:rsidRDefault="00111F92" w:rsidP="00111F92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For the purposes of </w:t>
      </w:r>
      <w:r w:rsidR="00E5525F" w:rsidRPr="00AC7652">
        <w:t xml:space="preserve">clauses </w:t>
      </w:r>
      <w:r w:rsidR="00D61074" w:rsidRPr="00AC7652">
        <w:t>4</w:t>
      </w:r>
      <w:r w:rsidRPr="00AC7652">
        <w:t xml:space="preserve">.1 and </w:t>
      </w:r>
      <w:r w:rsidR="00D61074" w:rsidRPr="00AC7652">
        <w:t>4</w:t>
      </w:r>
      <w:r w:rsidRPr="00AC7652">
        <w:t xml:space="preserve">.2, </w:t>
      </w:r>
      <w:r w:rsidR="003A60DF" w:rsidRPr="00AC7652">
        <w:t xml:space="preserve">section 69(4) of the </w:t>
      </w:r>
      <w:r w:rsidRPr="00AC7652">
        <w:t>Building Act</w:t>
      </w:r>
      <w:r w:rsidR="001D7C89" w:rsidRPr="00AC7652">
        <w:t>,</w:t>
      </w:r>
      <w:r w:rsidRPr="00AC7652">
        <w:t xml:space="preserve"> </w:t>
      </w:r>
      <w:r w:rsidR="003A60DF" w:rsidRPr="00AC7652">
        <w:t xml:space="preserve">read with Regulation 35B of the Building </w:t>
      </w:r>
      <w:r w:rsidRPr="00AC7652">
        <w:t>Regulation</w:t>
      </w:r>
      <w:r w:rsidR="001D7C89" w:rsidRPr="00AC7652">
        <w:t>,</w:t>
      </w:r>
      <w:r w:rsidRPr="00AC7652">
        <w:t xml:space="preserve"> </w:t>
      </w:r>
      <w:r w:rsidR="00EE42EF" w:rsidRPr="00AC7652">
        <w:t>makes it a requirement</w:t>
      </w:r>
      <w:r w:rsidRPr="00AC7652">
        <w:t xml:space="preserve"> that the Construction</w:t>
      </w:r>
      <w:r w:rsidR="001D7C89" w:rsidRPr="00AC7652">
        <w:t>s</w:t>
      </w:r>
      <w:r w:rsidRPr="00AC7652">
        <w:t xml:space="preserve"> Occupations Registrar must first be satisfied that the </w:t>
      </w:r>
      <w:r w:rsidR="003A60DF" w:rsidRPr="00AC7652">
        <w:t xml:space="preserve">deferred </w:t>
      </w:r>
      <w:r w:rsidRPr="00AC7652">
        <w:t xml:space="preserve">amount and any other outstanding amounts </w:t>
      </w:r>
      <w:r w:rsidR="00EE42EF" w:rsidRPr="00AC7652">
        <w:t>are</w:t>
      </w:r>
      <w:r w:rsidRPr="00AC7652">
        <w:t xml:space="preserve"> paid to the Commissioner before a certificate of occupancy </w:t>
      </w:r>
      <w:r w:rsidR="00E5525F" w:rsidRPr="00AC7652">
        <w:t xml:space="preserve">for building work </w:t>
      </w:r>
      <w:r w:rsidRPr="00AC7652">
        <w:t>is issued.</w:t>
      </w:r>
    </w:p>
    <w:p w:rsidR="00111F92" w:rsidRPr="00AC7652" w:rsidRDefault="00111F92" w:rsidP="00DE170A">
      <w:pPr>
        <w:pStyle w:val="ListParagraph"/>
        <w:spacing w:before="120" w:after="120" w:line="240" w:lineRule="auto"/>
        <w:ind w:left="426"/>
      </w:pPr>
      <w:r w:rsidRPr="00AC7652">
        <w:t xml:space="preserve"> </w:t>
      </w:r>
    </w:p>
    <w:p w:rsidR="00021CFC" w:rsidRPr="00AC7652" w:rsidRDefault="00021CFC" w:rsidP="00111F92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Payments</w:t>
      </w:r>
      <w:r w:rsidR="00541670" w:rsidRPr="00AC7652">
        <w:t xml:space="preserve"> of the deferred amount</w:t>
      </w:r>
      <w:r w:rsidRPr="00AC7652">
        <w:t xml:space="preserve"> </w:t>
      </w:r>
      <w:r w:rsidR="00541670" w:rsidRPr="00AC7652">
        <w:t>may</w:t>
      </w:r>
      <w:r w:rsidRPr="00AC7652">
        <w:t xml:space="preserve"> be made in advance of the</w:t>
      </w:r>
      <w:r w:rsidR="00541670" w:rsidRPr="00AC7652">
        <w:t xml:space="preserve"> due</w:t>
      </w:r>
      <w:r w:rsidRPr="00AC7652">
        <w:t xml:space="preserve"> date specified in clause</w:t>
      </w:r>
      <w:r w:rsidR="009A1BA9" w:rsidRPr="00AC7652">
        <w:t> </w:t>
      </w:r>
      <w:r w:rsidRPr="00AC7652">
        <w:t>4</w:t>
      </w:r>
      <w:r w:rsidR="001D7C89" w:rsidRPr="00AC7652">
        <w:t>,</w:t>
      </w:r>
      <w:r w:rsidR="00541670" w:rsidRPr="00AC7652">
        <w:t xml:space="preserve"> whichever date </w:t>
      </w:r>
      <w:r w:rsidR="00E00467" w:rsidRPr="00AC7652">
        <w:t>should apply. Advance payments may be made</w:t>
      </w:r>
      <w:r w:rsidR="00541670" w:rsidRPr="00AC7652">
        <w:t xml:space="preserve"> in part, or by instalment </w:t>
      </w:r>
      <w:r w:rsidR="00E00467" w:rsidRPr="00AC7652">
        <w:t>payment</w:t>
      </w:r>
      <w:r w:rsidR="008738C8" w:rsidRPr="00AC7652">
        <w:t>,</w:t>
      </w:r>
      <w:r w:rsidR="00E00467" w:rsidRPr="00AC7652">
        <w:t xml:space="preserve"> </w:t>
      </w:r>
      <w:r w:rsidR="00541670" w:rsidRPr="00AC7652">
        <w:t>as agreed with the Commissioner</w:t>
      </w:r>
      <w:r w:rsidRPr="00AC7652">
        <w:t xml:space="preserve">. </w:t>
      </w:r>
    </w:p>
    <w:p w:rsidR="00DE170A" w:rsidRPr="00AC7652" w:rsidRDefault="00DE170A" w:rsidP="00DE170A">
      <w:pPr>
        <w:pStyle w:val="ListParagraph"/>
        <w:spacing w:before="120" w:after="120" w:line="240" w:lineRule="auto"/>
        <w:ind w:left="426"/>
      </w:pPr>
    </w:p>
    <w:p w:rsidR="00021CFC" w:rsidRPr="00AC7652" w:rsidRDefault="00E00467" w:rsidP="00111F92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To facilitate the payment of the deferred amount, a</w:t>
      </w:r>
      <w:r w:rsidR="00021CFC" w:rsidRPr="00AC7652">
        <w:t xml:space="preserve">n </w:t>
      </w:r>
      <w:r w:rsidRPr="00AC7652">
        <w:t>applicant may request a</w:t>
      </w:r>
      <w:r w:rsidR="00021CFC" w:rsidRPr="00AC7652">
        <w:t xml:space="preserve"> statement of </w:t>
      </w:r>
      <w:r w:rsidRPr="00AC7652">
        <w:t>the deferred amount outstanding</w:t>
      </w:r>
      <w:r w:rsidR="00021CFC" w:rsidRPr="00AC7652">
        <w:t xml:space="preserve"> from the Commissioner.</w:t>
      </w:r>
    </w:p>
    <w:p w:rsidR="00DE170A" w:rsidRPr="00AC7652" w:rsidRDefault="00DE170A" w:rsidP="00DE170A">
      <w:pPr>
        <w:pStyle w:val="ListParagraph"/>
        <w:spacing w:before="120" w:after="120" w:line="240" w:lineRule="auto"/>
        <w:ind w:left="426"/>
      </w:pPr>
    </w:p>
    <w:p w:rsidR="00021CFC" w:rsidRPr="00AC7652" w:rsidRDefault="00021CFC" w:rsidP="00111F92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Payments must be made electronically by E</w:t>
      </w:r>
      <w:r w:rsidR="00D61074" w:rsidRPr="00AC7652">
        <w:t xml:space="preserve">lectronic </w:t>
      </w:r>
      <w:r w:rsidRPr="00AC7652">
        <w:t>F</w:t>
      </w:r>
      <w:r w:rsidR="00D61074" w:rsidRPr="00AC7652">
        <w:t xml:space="preserve">unds </w:t>
      </w:r>
      <w:r w:rsidRPr="00AC7652">
        <w:t>T</w:t>
      </w:r>
      <w:r w:rsidR="00D61074" w:rsidRPr="00AC7652">
        <w:t>ransfer</w:t>
      </w:r>
      <w:r w:rsidRPr="00AC7652">
        <w:t xml:space="preserve"> to the bank account nominated by the Commissioner from time to time.</w:t>
      </w:r>
    </w:p>
    <w:p w:rsidR="00FD28F2" w:rsidRDefault="00FD28F2" w:rsidP="00382791">
      <w:pPr>
        <w:spacing w:before="240" w:after="200" w:line="240" w:lineRule="auto"/>
        <w:rPr>
          <w:b/>
          <w:i/>
        </w:rPr>
      </w:pPr>
    </w:p>
    <w:p w:rsidR="00FD28F2" w:rsidRDefault="00FD28F2" w:rsidP="00382791">
      <w:pPr>
        <w:spacing w:before="240" w:after="200" w:line="240" w:lineRule="auto"/>
        <w:rPr>
          <w:b/>
          <w:i/>
        </w:rPr>
      </w:pPr>
    </w:p>
    <w:p w:rsidR="00060F7C" w:rsidRPr="00AC7652" w:rsidRDefault="00060F7C" w:rsidP="00382791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lastRenderedPageBreak/>
        <w:t>Default in payment</w:t>
      </w:r>
    </w:p>
    <w:p w:rsidR="00060F7C" w:rsidRPr="00AC7652" w:rsidRDefault="009F0581" w:rsidP="00A9789D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A default in the payment of the </w:t>
      </w:r>
      <w:r w:rsidR="003A60DF" w:rsidRPr="00AC7652">
        <w:t xml:space="preserve">deferred </w:t>
      </w:r>
      <w:r w:rsidRPr="00AC7652">
        <w:t xml:space="preserve">amount is a tax default for the purposes of the Taxation Administration Act. </w:t>
      </w:r>
    </w:p>
    <w:p w:rsidR="000F3538" w:rsidRPr="00AC7652" w:rsidRDefault="000F3538" w:rsidP="00A9789D">
      <w:pPr>
        <w:pStyle w:val="ListParagraph"/>
        <w:spacing w:before="120" w:after="120" w:line="240" w:lineRule="auto"/>
        <w:ind w:left="426"/>
      </w:pPr>
    </w:p>
    <w:p w:rsidR="009F0581" w:rsidRPr="00AC7652" w:rsidRDefault="009F0581" w:rsidP="00A9789D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If a tax default happens, the applicant is liable to pay </w:t>
      </w:r>
      <w:r w:rsidR="005D139B" w:rsidRPr="00AC7652">
        <w:t xml:space="preserve">additional </w:t>
      </w:r>
      <w:r w:rsidRPr="00AC7652">
        <w:t xml:space="preserve">interest on the </w:t>
      </w:r>
      <w:r w:rsidR="003A60DF" w:rsidRPr="00AC7652">
        <w:t xml:space="preserve">deferred </w:t>
      </w:r>
      <w:r w:rsidRPr="00AC7652">
        <w:t xml:space="preserve">amount at the interest rate </w:t>
      </w:r>
      <w:r w:rsidR="005D139B" w:rsidRPr="00AC7652">
        <w:t xml:space="preserve">and </w:t>
      </w:r>
      <w:r w:rsidR="003A60DF" w:rsidRPr="00AC7652">
        <w:t xml:space="preserve">calculated </w:t>
      </w:r>
      <w:r w:rsidR="005D139B" w:rsidRPr="00AC7652">
        <w:t xml:space="preserve">in the manner described </w:t>
      </w:r>
      <w:r w:rsidR="003A60DF" w:rsidRPr="00AC7652">
        <w:t xml:space="preserve">in </w:t>
      </w:r>
      <w:r w:rsidRPr="00AC7652">
        <w:t>Division 5.1 of the Taxation Administration Act.</w:t>
      </w:r>
    </w:p>
    <w:p w:rsidR="00762C32" w:rsidRPr="00AC7652" w:rsidRDefault="00762C32" w:rsidP="00762C32">
      <w:pPr>
        <w:pStyle w:val="ListParagraph"/>
      </w:pPr>
    </w:p>
    <w:p w:rsidR="009F0581" w:rsidRPr="00AC7652" w:rsidRDefault="009F0581" w:rsidP="00A9789D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In addition, </w:t>
      </w:r>
      <w:r w:rsidR="00811EA0" w:rsidRPr="00AC7652">
        <w:t xml:space="preserve">if a tax default happens </w:t>
      </w:r>
      <w:r w:rsidRPr="00AC7652">
        <w:t xml:space="preserve">the applicant may be liable </w:t>
      </w:r>
      <w:r w:rsidR="00D54240" w:rsidRPr="00AC7652">
        <w:t xml:space="preserve">under Division 5.2 of the Taxation Administration Act </w:t>
      </w:r>
      <w:r w:rsidRPr="00AC7652">
        <w:t xml:space="preserve">to pay penalty tax in respect of the amount </w:t>
      </w:r>
      <w:r w:rsidR="00345CC0" w:rsidRPr="00AC7652">
        <w:t xml:space="preserve">unpaid </w:t>
      </w:r>
      <w:r w:rsidRPr="00AC7652">
        <w:t>under this deferral arrangement</w:t>
      </w:r>
      <w:r w:rsidR="00D54240" w:rsidRPr="00AC7652">
        <w:t>.</w:t>
      </w:r>
    </w:p>
    <w:p w:rsidR="005B658A" w:rsidRPr="00AC7652" w:rsidRDefault="005B658A" w:rsidP="00382791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t>Charge on land</w:t>
      </w:r>
    </w:p>
    <w:p w:rsidR="005B658A" w:rsidRPr="00AC7652" w:rsidRDefault="005B658A" w:rsidP="00DE7688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An amount payable under a deferral arrangement is a debt owing to the Territory and under section 56H of the Taxation Administration Act is a statutory charge on land that</w:t>
      </w:r>
      <w:r w:rsidR="007A550B" w:rsidRPr="00AC7652">
        <w:t xml:space="preserve"> ranks ahead of other interests in the</w:t>
      </w:r>
      <w:r w:rsidR="00594B32" w:rsidRPr="00AC7652">
        <w:t xml:space="preserve"> parcel of</w:t>
      </w:r>
      <w:r w:rsidR="007A550B" w:rsidRPr="00AC7652">
        <w:t xml:space="preserve"> land including a mortgagee’s interest.</w:t>
      </w:r>
    </w:p>
    <w:p w:rsidR="00DE170A" w:rsidRPr="00AC7652" w:rsidRDefault="00DE170A" w:rsidP="00DE170A">
      <w:pPr>
        <w:pStyle w:val="ListParagraph"/>
        <w:spacing w:before="120" w:after="120" w:line="240" w:lineRule="auto"/>
        <w:ind w:left="426"/>
      </w:pPr>
    </w:p>
    <w:p w:rsidR="005B658A" w:rsidRPr="00E20560" w:rsidRDefault="005B658A" w:rsidP="00DE7688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8C3500">
        <w:t xml:space="preserve">The Commissioner </w:t>
      </w:r>
      <w:r w:rsidR="00DE7688" w:rsidRPr="00E20560">
        <w:t>may</w:t>
      </w:r>
      <w:r w:rsidRPr="00E20560">
        <w:t xml:space="preserve"> cause a</w:t>
      </w:r>
      <w:r w:rsidR="007A550B" w:rsidRPr="00E20560">
        <w:t>n instrument of</w:t>
      </w:r>
      <w:r w:rsidRPr="00E20560">
        <w:t xml:space="preserve"> charge to be registered</w:t>
      </w:r>
      <w:r w:rsidR="00DE7688" w:rsidRPr="00E20560">
        <w:t xml:space="preserve"> against the title to </w:t>
      </w:r>
      <w:r w:rsidRPr="00E20560">
        <w:t>the land</w:t>
      </w:r>
      <w:r w:rsidR="00DE7688" w:rsidRPr="00E20560">
        <w:t xml:space="preserve"> the subject of the variation</w:t>
      </w:r>
      <w:r w:rsidRPr="00E20560">
        <w:t xml:space="preserve"> at any time after the deferral arrangement is entered into. </w:t>
      </w:r>
      <w:r w:rsidR="00C04E54" w:rsidRPr="00E20560">
        <w:t xml:space="preserve">The </w:t>
      </w:r>
      <w:r w:rsidR="005E6F60">
        <w:t>registration</w:t>
      </w:r>
      <w:r w:rsidR="00C04E54" w:rsidRPr="00E20560">
        <w:t xml:space="preserve"> of an instrument of charge does not </w:t>
      </w:r>
      <w:r w:rsidR="005E6F60">
        <w:t>derogate from the Commissioner’s rights in respect of the statutory charge under the Taxation Administration Act</w:t>
      </w:r>
      <w:r w:rsidR="0014263E" w:rsidRPr="00E20560">
        <w:t xml:space="preserve">. </w:t>
      </w:r>
    </w:p>
    <w:p w:rsidR="00060F7C" w:rsidRPr="00AC7652" w:rsidRDefault="00345CC0" w:rsidP="00382791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t>Review</w:t>
      </w:r>
      <w:r w:rsidR="009077B6" w:rsidRPr="00AC7652">
        <w:rPr>
          <w:b/>
          <w:i/>
        </w:rPr>
        <w:t xml:space="preserve"> of</w:t>
      </w:r>
      <w:r w:rsidRPr="00AC7652">
        <w:rPr>
          <w:b/>
          <w:i/>
        </w:rPr>
        <w:t xml:space="preserve"> decision</w:t>
      </w:r>
      <w:r w:rsidR="009077B6" w:rsidRPr="00AC7652">
        <w:rPr>
          <w:b/>
          <w:i/>
        </w:rPr>
        <w:t>s</w:t>
      </w:r>
    </w:p>
    <w:p w:rsidR="00C32386" w:rsidRPr="00AC7652" w:rsidRDefault="000E4CF6" w:rsidP="00AC7652">
      <w:pPr>
        <w:pStyle w:val="ListParagraph"/>
        <w:numPr>
          <w:ilvl w:val="0"/>
          <w:numId w:val="6"/>
        </w:numPr>
        <w:spacing w:before="240" w:after="200" w:line="240" w:lineRule="auto"/>
        <w:ind w:left="426" w:hanging="426"/>
      </w:pPr>
      <w:r w:rsidRPr="00AC7652">
        <w:t xml:space="preserve">A decision of the Commissioner to approve an application and impose conditions under a deferral arrangement </w:t>
      </w:r>
      <w:r w:rsidR="009077B6" w:rsidRPr="00AC7652">
        <w:t xml:space="preserve">is subject to </w:t>
      </w:r>
      <w:r w:rsidR="00367495" w:rsidRPr="00AC7652">
        <w:t xml:space="preserve">internal </w:t>
      </w:r>
      <w:r w:rsidR="009077B6" w:rsidRPr="00AC7652">
        <w:t xml:space="preserve">review by the Commissioner and </w:t>
      </w:r>
      <w:r w:rsidR="00367495" w:rsidRPr="00AC7652">
        <w:t xml:space="preserve">review by </w:t>
      </w:r>
      <w:r w:rsidR="009077B6" w:rsidRPr="00AC7652">
        <w:t>the ACAT</w:t>
      </w:r>
      <w:r w:rsidRPr="00AC7652">
        <w:t xml:space="preserve"> under </w:t>
      </w:r>
      <w:r w:rsidR="009077B6" w:rsidRPr="00AC7652">
        <w:t>Schedule 1,</w:t>
      </w:r>
      <w:r w:rsidRPr="00AC7652">
        <w:t xml:space="preserve"> Taxation Administration Act.</w:t>
      </w:r>
    </w:p>
    <w:p w:rsidR="000E7458" w:rsidRPr="00AC7652" w:rsidRDefault="000E7458" w:rsidP="000E7458">
      <w:pPr>
        <w:pStyle w:val="ListParagraph"/>
        <w:spacing w:before="120" w:after="120" w:line="240" w:lineRule="auto"/>
        <w:ind w:left="426"/>
      </w:pPr>
    </w:p>
    <w:p w:rsidR="00033FCE" w:rsidRPr="00AC7652" w:rsidRDefault="000E7458" w:rsidP="000E4CF6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An applicant wishing to object to a decision of the Commissioner must apply in writing within 60</w:t>
      </w:r>
      <w:r w:rsidR="009A1BA9" w:rsidRPr="00AC7652">
        <w:t> </w:t>
      </w:r>
      <w:r w:rsidRPr="00AC7652">
        <w:t xml:space="preserve">days after the date of service of the decision to the address set out in the Schedule. </w:t>
      </w:r>
    </w:p>
    <w:p w:rsidR="00033FCE" w:rsidRPr="00AC7652" w:rsidRDefault="00033FCE" w:rsidP="00033FCE">
      <w:pPr>
        <w:pStyle w:val="ListParagraph"/>
      </w:pPr>
    </w:p>
    <w:p w:rsidR="000E7458" w:rsidRPr="00AC7652" w:rsidRDefault="000E7458" w:rsidP="000E4CF6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The </w:t>
      </w:r>
      <w:r w:rsidR="00033FCE" w:rsidRPr="00AC7652">
        <w:t xml:space="preserve">applicant bears the burden of showing that their objection should be upheld. The applicant </w:t>
      </w:r>
      <w:r w:rsidRPr="00AC7652">
        <w:t xml:space="preserve">must state </w:t>
      </w:r>
      <w:r w:rsidR="00033FCE" w:rsidRPr="00AC7652">
        <w:t xml:space="preserve">in the objection, in </w:t>
      </w:r>
      <w:r w:rsidRPr="00AC7652">
        <w:t>full and in detail</w:t>
      </w:r>
      <w:r w:rsidR="00033FCE" w:rsidRPr="00AC7652">
        <w:t>,</w:t>
      </w:r>
      <w:r w:rsidRPr="00AC7652">
        <w:t xml:space="preserve"> the grounds upon which the applicant relies, and </w:t>
      </w:r>
      <w:r w:rsidR="00033FCE" w:rsidRPr="00AC7652">
        <w:t xml:space="preserve">must </w:t>
      </w:r>
      <w:r w:rsidRPr="00AC7652">
        <w:t xml:space="preserve">include any supporting documentation the applicant wants considered at the time the objection is determined. </w:t>
      </w:r>
      <w:r w:rsidR="00033FCE" w:rsidRPr="00AC7652">
        <w:t>The applicant agrees to provide any additional information the Commissioner may request in determining the objection.</w:t>
      </w:r>
    </w:p>
    <w:p w:rsidR="00033FCE" w:rsidRPr="00AC7652" w:rsidRDefault="00033FCE" w:rsidP="00033FCE">
      <w:pPr>
        <w:pStyle w:val="ListParagraph"/>
      </w:pPr>
    </w:p>
    <w:p w:rsidR="00033FCE" w:rsidRPr="00AC7652" w:rsidRDefault="00033FCE" w:rsidP="000E4CF6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The applicant </w:t>
      </w:r>
      <w:r w:rsidR="00367495" w:rsidRPr="00AC7652">
        <w:t>is</w:t>
      </w:r>
      <w:r w:rsidRPr="00AC7652">
        <w:t xml:space="preserve"> responsible for any expenses they incur in relation to the objection, such as the applicant’s legal fees and or valuer’s fees.</w:t>
      </w:r>
    </w:p>
    <w:p w:rsidR="00F90AA5" w:rsidRPr="00AC7652" w:rsidRDefault="00F90AA5" w:rsidP="004C0D94">
      <w:pPr>
        <w:pStyle w:val="ListParagraph"/>
      </w:pPr>
    </w:p>
    <w:p w:rsidR="00F90AA5" w:rsidRPr="00AC7652" w:rsidRDefault="00F90AA5" w:rsidP="000E4CF6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The applicant, if dissatisfied with the decision</w:t>
      </w:r>
      <w:r w:rsidR="00367495" w:rsidRPr="00AC7652">
        <w:t xml:space="preserve"> upon objection</w:t>
      </w:r>
      <w:r w:rsidRPr="00AC7652">
        <w:t>, may apply to the ACAT for review</w:t>
      </w:r>
      <w:r w:rsidR="00367495" w:rsidRPr="00AC7652">
        <w:t>.</w:t>
      </w:r>
      <w:r w:rsidRPr="00AC7652">
        <w:t xml:space="preserve"> </w:t>
      </w:r>
      <w:r w:rsidR="00367495" w:rsidRPr="00AC7652">
        <w:t>Applications for review to the ACAT must usually be made within</w:t>
      </w:r>
      <w:r w:rsidRPr="00AC7652">
        <w:t xml:space="preserve"> 28 days after the day the reviewable decision is made.</w:t>
      </w:r>
      <w:r w:rsidR="00811EA0" w:rsidRPr="00AC7652">
        <w:t xml:space="preserve"> </w:t>
      </w:r>
    </w:p>
    <w:p w:rsidR="00EE42EF" w:rsidRPr="00AC7652" w:rsidRDefault="00EE42EF" w:rsidP="00382791">
      <w:pPr>
        <w:spacing w:before="240" w:after="200" w:line="240" w:lineRule="auto"/>
        <w:rPr>
          <w:b/>
          <w:i/>
        </w:rPr>
      </w:pPr>
      <w:r w:rsidRPr="00AC7652">
        <w:rPr>
          <w:b/>
          <w:i/>
        </w:rPr>
        <w:t>Remission</w:t>
      </w:r>
      <w:r w:rsidR="000428EA" w:rsidRPr="00AC7652">
        <w:rPr>
          <w:b/>
          <w:i/>
        </w:rPr>
        <w:t xml:space="preserve"> </w:t>
      </w:r>
      <w:r w:rsidR="004A495F" w:rsidRPr="00AC7652">
        <w:rPr>
          <w:b/>
          <w:i/>
        </w:rPr>
        <w:t xml:space="preserve">of </w:t>
      </w:r>
      <w:r w:rsidR="00BA22D5" w:rsidRPr="00AC7652">
        <w:rPr>
          <w:b/>
          <w:i/>
        </w:rPr>
        <w:t xml:space="preserve">applicable </w:t>
      </w:r>
      <w:r w:rsidR="004A495F" w:rsidRPr="00AC7652">
        <w:rPr>
          <w:b/>
          <w:i/>
        </w:rPr>
        <w:t>E</w:t>
      </w:r>
      <w:r w:rsidR="00B0153D" w:rsidRPr="00AC7652">
        <w:rPr>
          <w:b/>
          <w:i/>
        </w:rPr>
        <w:t xml:space="preserve">nvironmental </w:t>
      </w:r>
      <w:r w:rsidR="004A495F" w:rsidRPr="00AC7652">
        <w:rPr>
          <w:b/>
          <w:i/>
        </w:rPr>
        <w:t>S</w:t>
      </w:r>
      <w:r w:rsidR="00B0153D" w:rsidRPr="00AC7652">
        <w:rPr>
          <w:b/>
          <w:i/>
        </w:rPr>
        <w:t xml:space="preserve">ustainability </w:t>
      </w:r>
      <w:r w:rsidR="004A495F" w:rsidRPr="00AC7652">
        <w:rPr>
          <w:b/>
          <w:i/>
        </w:rPr>
        <w:t>remission amount</w:t>
      </w:r>
    </w:p>
    <w:p w:rsidR="00EE42EF" w:rsidRPr="00AC7652" w:rsidRDefault="0096424B" w:rsidP="0096424B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 xml:space="preserve">This condition applies only in respect of </w:t>
      </w:r>
      <w:r w:rsidR="006D643A" w:rsidRPr="00AC7652">
        <w:t>a deferr</w:t>
      </w:r>
      <w:r w:rsidR="003A60DF" w:rsidRPr="00AC7652">
        <w:t xml:space="preserve">ed amount </w:t>
      </w:r>
      <w:r w:rsidR="009C6E4B" w:rsidRPr="00AC7652">
        <w:t>of</w:t>
      </w:r>
      <w:r w:rsidR="00B26259" w:rsidRPr="00AC7652">
        <w:t xml:space="preserve"> a</w:t>
      </w:r>
      <w:r w:rsidR="006D643A" w:rsidRPr="00AC7652">
        <w:t xml:space="preserve"> </w:t>
      </w:r>
      <w:r w:rsidRPr="00AC7652">
        <w:t xml:space="preserve">section 277 </w:t>
      </w:r>
      <w:r w:rsidR="006D643A" w:rsidRPr="00AC7652">
        <w:t>lease variation</w:t>
      </w:r>
      <w:r w:rsidR="009C6E4B" w:rsidRPr="00AC7652">
        <w:t xml:space="preserve">, for which an environmental sustainability remission under </w:t>
      </w:r>
      <w:r w:rsidR="004A495F" w:rsidRPr="00AC7652">
        <w:t>the Environmental Sustainability Determination</w:t>
      </w:r>
      <w:r w:rsidR="009E08DB" w:rsidRPr="00AC7652">
        <w:t xml:space="preserve"> </w:t>
      </w:r>
      <w:r w:rsidR="004A495F" w:rsidRPr="00AC7652">
        <w:t xml:space="preserve">may </w:t>
      </w:r>
      <w:r w:rsidR="009E08DB" w:rsidRPr="00AC7652">
        <w:t>be</w:t>
      </w:r>
      <w:r w:rsidR="006827E7" w:rsidRPr="00AC7652">
        <w:t xml:space="preserve"> applicable</w:t>
      </w:r>
      <w:r w:rsidRPr="00AC7652">
        <w:t>.</w:t>
      </w:r>
    </w:p>
    <w:p w:rsidR="00DE170A" w:rsidRPr="00AC7652" w:rsidRDefault="00DE170A" w:rsidP="00DE170A">
      <w:pPr>
        <w:pStyle w:val="ListParagraph"/>
        <w:spacing w:before="120" w:after="120" w:line="240" w:lineRule="auto"/>
        <w:ind w:left="426"/>
      </w:pPr>
    </w:p>
    <w:p w:rsidR="004A495F" w:rsidRPr="00AC7652" w:rsidRDefault="00202B02" w:rsidP="00F90AA5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lastRenderedPageBreak/>
        <w:t xml:space="preserve">The remission amount is calculated at the time the notice of assessment of the chargeable lease variation is </w:t>
      </w:r>
      <w:r w:rsidR="004A495F" w:rsidRPr="00AC7652">
        <w:t xml:space="preserve">issued </w:t>
      </w:r>
      <w:r w:rsidRPr="00AC7652">
        <w:t>to the lessee under section 27</w:t>
      </w:r>
      <w:r w:rsidR="00445F19" w:rsidRPr="00AC7652">
        <w:t>6</w:t>
      </w:r>
      <w:r w:rsidRPr="00AC7652">
        <w:t>D of the Planning and Development Act</w:t>
      </w:r>
      <w:r w:rsidR="004A495F" w:rsidRPr="00AC7652">
        <w:t xml:space="preserve">. </w:t>
      </w:r>
    </w:p>
    <w:p w:rsidR="004A495F" w:rsidRPr="00AC7652" w:rsidRDefault="004A495F" w:rsidP="004C0D94">
      <w:pPr>
        <w:pStyle w:val="ListParagraph"/>
      </w:pPr>
    </w:p>
    <w:p w:rsidR="00202B02" w:rsidRPr="00AC7652" w:rsidRDefault="00BA22D5" w:rsidP="00F90AA5">
      <w:pPr>
        <w:pStyle w:val="ListParagraph"/>
        <w:numPr>
          <w:ilvl w:val="0"/>
          <w:numId w:val="6"/>
        </w:numPr>
        <w:spacing w:before="120" w:after="120" w:line="240" w:lineRule="auto"/>
        <w:ind w:left="426" w:hanging="426"/>
      </w:pPr>
      <w:r w:rsidRPr="00AC7652">
        <w:t>An</w:t>
      </w:r>
      <w:r w:rsidR="004A495F" w:rsidRPr="00AC7652">
        <w:t xml:space="preserve"> amount </w:t>
      </w:r>
      <w:r w:rsidRPr="00AC7652">
        <w:t xml:space="preserve">of LVC </w:t>
      </w:r>
      <w:r w:rsidR="00202B02" w:rsidRPr="00AC7652">
        <w:t>is</w:t>
      </w:r>
      <w:r w:rsidR="004A495F" w:rsidRPr="00AC7652">
        <w:t xml:space="preserve"> only </w:t>
      </w:r>
      <w:r w:rsidR="00202B02" w:rsidRPr="00AC7652">
        <w:t xml:space="preserve">remitted </w:t>
      </w:r>
      <w:r w:rsidR="004A495F" w:rsidRPr="00AC7652">
        <w:t xml:space="preserve">by the Commissioner </w:t>
      </w:r>
      <w:r w:rsidR="007A20A1">
        <w:t>if</w:t>
      </w:r>
      <w:r w:rsidR="00202B02" w:rsidRPr="00AC7652">
        <w:t xml:space="preserve"> the energy efficiency requirements </w:t>
      </w:r>
      <w:r w:rsidR="007A20A1" w:rsidRPr="00AC7652">
        <w:t xml:space="preserve">under the Environmental Sustainability Determination </w:t>
      </w:r>
      <w:r w:rsidR="00202B02" w:rsidRPr="00AC7652">
        <w:t>for the building or buildings constructed on the land have been satisfied.</w:t>
      </w:r>
    </w:p>
    <w:p w:rsidR="009C6E4B" w:rsidRPr="00AC7652" w:rsidRDefault="009C6E4B" w:rsidP="009C6E4B">
      <w:pPr>
        <w:pStyle w:val="ListParagraph"/>
        <w:spacing w:before="120" w:after="120" w:line="240" w:lineRule="auto"/>
        <w:ind w:left="426"/>
      </w:pPr>
    </w:p>
    <w:p w:rsidR="00711CD7" w:rsidRPr="00AC7652" w:rsidRDefault="00202B02" w:rsidP="00AC7652">
      <w:pPr>
        <w:pStyle w:val="ListParagraph"/>
        <w:numPr>
          <w:ilvl w:val="0"/>
          <w:numId w:val="6"/>
        </w:numPr>
        <w:spacing w:before="240" w:after="200" w:line="240" w:lineRule="auto"/>
        <w:ind w:left="426" w:hanging="426"/>
      </w:pPr>
      <w:r w:rsidRPr="00AC7652">
        <w:t xml:space="preserve">An </w:t>
      </w:r>
      <w:r w:rsidR="00B0153D" w:rsidRPr="00AC7652">
        <w:t xml:space="preserve">applicant </w:t>
      </w:r>
      <w:r w:rsidR="007A550B" w:rsidRPr="00AC7652">
        <w:t>must</w:t>
      </w:r>
      <w:r w:rsidR="00711CD7" w:rsidRPr="00AC7652">
        <w:t>:</w:t>
      </w:r>
    </w:p>
    <w:p w:rsidR="00B0153D" w:rsidRPr="00AC7652" w:rsidRDefault="00B0153D" w:rsidP="00DE170A">
      <w:pPr>
        <w:pStyle w:val="ListParagraph"/>
        <w:numPr>
          <w:ilvl w:val="1"/>
          <w:numId w:val="6"/>
        </w:numPr>
        <w:spacing w:before="120" w:after="120" w:line="240" w:lineRule="auto"/>
        <w:ind w:left="1134" w:hanging="709"/>
        <w:contextualSpacing w:val="0"/>
      </w:pPr>
      <w:r w:rsidRPr="00AC7652">
        <w:t xml:space="preserve">obtain </w:t>
      </w:r>
      <w:r w:rsidR="004A495F" w:rsidRPr="00AC7652">
        <w:t xml:space="preserve">at the applicant’s own cost evidence from a licensed building assessor of the building’s compliance with the </w:t>
      </w:r>
      <w:r w:rsidRPr="00AC7652">
        <w:t>energy efficiency rating</w:t>
      </w:r>
      <w:r w:rsidR="004A495F" w:rsidRPr="00AC7652">
        <w:t>s of the Environmental Sustainability Determination</w:t>
      </w:r>
      <w:r w:rsidR="00630D24" w:rsidRPr="00AC7652">
        <w:t>;</w:t>
      </w:r>
      <w:r w:rsidR="009A1BA9" w:rsidRPr="00AC7652">
        <w:t xml:space="preserve"> and</w:t>
      </w:r>
    </w:p>
    <w:p w:rsidR="009A1BA9" w:rsidRPr="00AC7652" w:rsidRDefault="009A1BA9" w:rsidP="009A1BA9">
      <w:pPr>
        <w:pStyle w:val="ListParagraph"/>
        <w:numPr>
          <w:ilvl w:val="1"/>
          <w:numId w:val="6"/>
        </w:numPr>
        <w:spacing w:before="120" w:after="120" w:line="240" w:lineRule="auto"/>
        <w:ind w:left="1134" w:hanging="709"/>
        <w:contextualSpacing w:val="0"/>
      </w:pPr>
      <w:proofErr w:type="gramStart"/>
      <w:r w:rsidRPr="00AC7652">
        <w:t>provide</w:t>
      </w:r>
      <w:proofErr w:type="gramEnd"/>
      <w:r w:rsidRPr="00AC7652">
        <w:t xml:space="preserve"> </w:t>
      </w:r>
      <w:r w:rsidR="00630D24" w:rsidRPr="00AC7652">
        <w:t xml:space="preserve">that </w:t>
      </w:r>
      <w:r w:rsidR="004A495F" w:rsidRPr="00AC7652">
        <w:t>evidence</w:t>
      </w:r>
      <w:r w:rsidR="00630D24" w:rsidRPr="00AC7652">
        <w:t xml:space="preserve"> to the Commissioner of Revenue.</w:t>
      </w:r>
      <w:r w:rsidR="007A7939" w:rsidRPr="00AC7652">
        <w:t xml:space="preserve"> </w:t>
      </w:r>
    </w:p>
    <w:p w:rsidR="00866FD0" w:rsidRPr="00AC7652" w:rsidRDefault="00866FD0" w:rsidP="004C0D94">
      <w:pPr>
        <w:rPr>
          <w:b/>
          <w:i/>
        </w:rPr>
      </w:pPr>
      <w:r w:rsidRPr="00AC7652">
        <w:rPr>
          <w:b/>
          <w:i/>
        </w:rPr>
        <w:t>Variation</w:t>
      </w:r>
    </w:p>
    <w:p w:rsidR="00C06EE9" w:rsidRPr="00AC7652" w:rsidRDefault="00445F19" w:rsidP="00AC7652">
      <w:pPr>
        <w:pStyle w:val="ListParagraph"/>
        <w:numPr>
          <w:ilvl w:val="0"/>
          <w:numId w:val="6"/>
        </w:numPr>
        <w:spacing w:before="240" w:after="200" w:line="240" w:lineRule="auto"/>
        <w:ind w:left="426" w:hanging="426"/>
      </w:pPr>
      <w:r w:rsidRPr="00AC7652">
        <w:t xml:space="preserve">Under section 279AD(3) Planning and Development Act, </w:t>
      </w:r>
      <w:r w:rsidR="002477FA" w:rsidRPr="00AC7652">
        <w:t>the applicant may apply to</w:t>
      </w:r>
      <w:r w:rsidR="00D87D15" w:rsidRPr="00AC7652">
        <w:t xml:space="preserve"> </w:t>
      </w:r>
      <w:r w:rsidRPr="00AC7652">
        <w:t>t</w:t>
      </w:r>
      <w:r w:rsidR="00866FD0" w:rsidRPr="00AC7652">
        <w:t xml:space="preserve">he Commissioner </w:t>
      </w:r>
      <w:r w:rsidR="002477FA" w:rsidRPr="00AC7652">
        <w:t xml:space="preserve">to </w:t>
      </w:r>
      <w:r w:rsidR="00423DFD" w:rsidRPr="00AC7652">
        <w:t>vary this arrangement</w:t>
      </w:r>
      <w:r w:rsidR="002477FA" w:rsidRPr="00AC7652">
        <w:t xml:space="preserve"> if the amount deferred </w:t>
      </w:r>
      <w:r w:rsidR="00D87D15" w:rsidRPr="00AC7652">
        <w:t>increases as a result of a reconsideration, reassessment under the Planning and Development Act or the Taxation Administration Act.</w:t>
      </w:r>
    </w:p>
    <w:p w:rsidR="00FB4D8E" w:rsidRPr="00AC7652" w:rsidRDefault="00FB4D8E" w:rsidP="00FB4D8E">
      <w:pPr>
        <w:pStyle w:val="ListParagraph"/>
        <w:spacing w:before="240" w:after="200" w:line="240" w:lineRule="auto"/>
        <w:ind w:left="426"/>
      </w:pPr>
    </w:p>
    <w:p w:rsidR="00866FD0" w:rsidRPr="00AC7652" w:rsidRDefault="00662B0A" w:rsidP="00AC7652">
      <w:pPr>
        <w:pStyle w:val="ListParagraph"/>
        <w:numPr>
          <w:ilvl w:val="0"/>
          <w:numId w:val="6"/>
        </w:numPr>
        <w:spacing w:before="240" w:after="200" w:line="240" w:lineRule="auto"/>
        <w:ind w:left="426" w:hanging="426"/>
      </w:pPr>
      <w:r w:rsidRPr="00AC7652">
        <w:t xml:space="preserve">The Commissioner may vary the </w:t>
      </w:r>
      <w:r w:rsidR="00FB4D8E" w:rsidRPr="00AC7652">
        <w:t>date</w:t>
      </w:r>
      <w:r w:rsidRPr="00AC7652">
        <w:t xml:space="preserve"> for</w:t>
      </w:r>
      <w:r w:rsidR="00FD7F38">
        <w:t xml:space="preserve"> the</w:t>
      </w:r>
      <w:r w:rsidRPr="00AC7652">
        <w:t xml:space="preserve"> payment of the deferred amount</w:t>
      </w:r>
      <w:r w:rsidR="00236AD5">
        <w:t xml:space="preserve"> for part building work</w:t>
      </w:r>
      <w:r w:rsidR="00B76E24">
        <w:t>,</w:t>
      </w:r>
      <w:r w:rsidR="00FB4D8E" w:rsidRPr="00AC7652">
        <w:t xml:space="preserve"> stated in this arrangement pursuant to clause 4.1, by giving the applicant seven (7) days’ notice of the variation.</w:t>
      </w:r>
    </w:p>
    <w:p w:rsidR="00C32386" w:rsidRPr="003E1335" w:rsidRDefault="00C32386" w:rsidP="00382791">
      <w:pPr>
        <w:spacing w:before="240" w:after="200" w:line="240" w:lineRule="auto"/>
        <w:rPr>
          <w:b/>
          <w:i/>
        </w:rPr>
      </w:pPr>
      <w:r w:rsidRPr="003E1335">
        <w:rPr>
          <w:b/>
          <w:i/>
        </w:rPr>
        <w:t>Definitions</w:t>
      </w:r>
    </w:p>
    <w:p w:rsidR="000E4CF6" w:rsidRPr="003E1335" w:rsidRDefault="00762C32" w:rsidP="00AC7652">
      <w:pPr>
        <w:pStyle w:val="ListParagraph"/>
        <w:numPr>
          <w:ilvl w:val="0"/>
          <w:numId w:val="6"/>
        </w:numPr>
        <w:spacing w:before="240" w:after="200" w:line="240" w:lineRule="auto"/>
        <w:ind w:left="426" w:hanging="426"/>
      </w:pPr>
      <w:r w:rsidRPr="003E1335">
        <w:t xml:space="preserve">In this deferral </w:t>
      </w:r>
      <w:r w:rsidR="008620E6">
        <w:t>arrangement</w:t>
      </w:r>
      <w:r w:rsidRPr="003E1335">
        <w:t>:</w:t>
      </w:r>
    </w:p>
    <w:p w:rsidR="00E84544" w:rsidRPr="003E1335" w:rsidRDefault="00617BF4" w:rsidP="00A9789D">
      <w:pPr>
        <w:spacing w:before="120" w:after="120" w:line="240" w:lineRule="auto"/>
      </w:pPr>
      <w:proofErr w:type="gramStart"/>
      <w:r w:rsidRPr="003E1335">
        <w:rPr>
          <w:b/>
        </w:rPr>
        <w:t>a</w:t>
      </w:r>
      <w:r w:rsidR="00E84544" w:rsidRPr="003E1335">
        <w:rPr>
          <w:b/>
        </w:rPr>
        <w:t>pplicant</w:t>
      </w:r>
      <w:proofErr w:type="gramEnd"/>
      <w:r w:rsidR="00E84544" w:rsidRPr="003E1335">
        <w:rPr>
          <w:b/>
        </w:rPr>
        <w:t xml:space="preserve"> </w:t>
      </w:r>
      <w:r w:rsidR="00E84544" w:rsidRPr="003E1335">
        <w:t>means</w:t>
      </w:r>
      <w:r w:rsidR="00F83DED" w:rsidRPr="003E1335">
        <w:t xml:space="preserve"> the le</w:t>
      </w:r>
      <w:r w:rsidR="00AC7652">
        <w:t>ssee</w:t>
      </w:r>
      <w:r w:rsidR="00F83DED" w:rsidRPr="003E1335">
        <w:t xml:space="preserve"> of land the subject of the lease variation</w:t>
      </w:r>
      <w:r w:rsidR="00FB4D8E">
        <w:t xml:space="preserve"> described in the Schedule</w:t>
      </w:r>
      <w:r w:rsidR="00F83DED" w:rsidRPr="003E1335">
        <w:t xml:space="preserve">, and includes their </w:t>
      </w:r>
      <w:r w:rsidR="00021CFC" w:rsidRPr="003E1335">
        <w:t xml:space="preserve">legal </w:t>
      </w:r>
      <w:r w:rsidR="00F83DED" w:rsidRPr="003E1335">
        <w:t>representative, assigns</w:t>
      </w:r>
      <w:r w:rsidR="006B1DD8">
        <w:t xml:space="preserve"> and </w:t>
      </w:r>
      <w:r w:rsidR="00DC2992" w:rsidRPr="003E1335">
        <w:t>nominees</w:t>
      </w:r>
      <w:r w:rsidR="00FB4D8E">
        <w:t>.</w:t>
      </w:r>
      <w:r w:rsidR="006B46E4" w:rsidRPr="003E1335">
        <w:t xml:space="preserve"> </w:t>
      </w:r>
    </w:p>
    <w:p w:rsidR="00382791" w:rsidRPr="003E1335" w:rsidRDefault="00111F92" w:rsidP="00A9789D">
      <w:pPr>
        <w:spacing w:before="120" w:after="120" w:line="240" w:lineRule="auto"/>
        <w:rPr>
          <w:i/>
        </w:rPr>
      </w:pPr>
      <w:r w:rsidRPr="003E1335">
        <w:rPr>
          <w:b/>
          <w:i/>
        </w:rPr>
        <w:t xml:space="preserve">Building Act </w:t>
      </w:r>
      <w:r w:rsidRPr="003E1335">
        <w:t xml:space="preserve">means the </w:t>
      </w:r>
      <w:hyperlink r:id="rId9" w:history="1">
        <w:r w:rsidRPr="0017288B">
          <w:rPr>
            <w:rStyle w:val="Hyperlink"/>
            <w:i/>
          </w:rPr>
          <w:t>Building Act 2004</w:t>
        </w:r>
      </w:hyperlink>
      <w:r w:rsidR="00382791" w:rsidRPr="003E1335">
        <w:rPr>
          <w:i/>
        </w:rPr>
        <w:t>.</w:t>
      </w:r>
    </w:p>
    <w:p w:rsidR="00111F92" w:rsidRPr="003E1335" w:rsidRDefault="00382791" w:rsidP="00A9789D">
      <w:pPr>
        <w:spacing w:before="120" w:after="120" w:line="240" w:lineRule="auto"/>
      </w:pPr>
      <w:r w:rsidRPr="003E1335">
        <w:rPr>
          <w:b/>
          <w:i/>
        </w:rPr>
        <w:t>Building Regulation</w:t>
      </w:r>
      <w:r w:rsidR="009A1BA9">
        <w:rPr>
          <w:b/>
          <w:i/>
        </w:rPr>
        <w:t xml:space="preserve"> </w:t>
      </w:r>
      <w:r w:rsidRPr="003E1335">
        <w:t>means</w:t>
      </w:r>
      <w:r w:rsidR="00EE42EF" w:rsidRPr="003E1335">
        <w:t xml:space="preserve"> the </w:t>
      </w:r>
      <w:r w:rsidR="00EE42EF" w:rsidRPr="004C0D94">
        <w:rPr>
          <w:i/>
        </w:rPr>
        <w:t>Building (General) Regulation 2008</w:t>
      </w:r>
      <w:r w:rsidR="00EE42EF" w:rsidRPr="003E1335">
        <w:t>.</w:t>
      </w:r>
      <w:r w:rsidR="00111F92" w:rsidRPr="003E1335">
        <w:t xml:space="preserve"> </w:t>
      </w:r>
    </w:p>
    <w:p w:rsidR="008B15BE" w:rsidRDefault="00762C32" w:rsidP="00A9789D">
      <w:pPr>
        <w:spacing w:before="120" w:after="120" w:line="240" w:lineRule="auto"/>
      </w:pPr>
      <w:r w:rsidRPr="003E1335">
        <w:rPr>
          <w:b/>
          <w:i/>
        </w:rPr>
        <w:t>C</w:t>
      </w:r>
      <w:r w:rsidR="008B15BE" w:rsidRPr="003E1335">
        <w:rPr>
          <w:b/>
          <w:i/>
        </w:rPr>
        <w:t>ertificate of occupancy</w:t>
      </w:r>
      <w:r w:rsidR="000E4CF6" w:rsidRPr="003E1335">
        <w:t xml:space="preserve"> means a certificate under section 69 of the </w:t>
      </w:r>
      <w:hyperlink r:id="rId10" w:history="1">
        <w:r w:rsidR="000E4CF6" w:rsidRPr="0017288B">
          <w:rPr>
            <w:rStyle w:val="Hyperlink"/>
            <w:i/>
          </w:rPr>
          <w:t>Building Act 2004</w:t>
        </w:r>
      </w:hyperlink>
      <w:r w:rsidR="000E4CF6" w:rsidRPr="003E1335">
        <w:t>.</w:t>
      </w:r>
    </w:p>
    <w:p w:rsidR="00F85285" w:rsidRPr="003E1335" w:rsidRDefault="00F85285" w:rsidP="00A9789D">
      <w:pPr>
        <w:spacing w:before="120" w:after="120" w:line="240" w:lineRule="auto"/>
      </w:pPr>
      <w:r w:rsidRPr="004C0D94">
        <w:rPr>
          <w:b/>
        </w:rPr>
        <w:t>Commissioner</w:t>
      </w:r>
      <w:r>
        <w:t xml:space="preserve"> means the Commissioner for Australian Capital Territory Revenue. </w:t>
      </w:r>
    </w:p>
    <w:p w:rsidR="00617BF4" w:rsidRPr="003E1335" w:rsidRDefault="00701D66" w:rsidP="00A9789D">
      <w:pPr>
        <w:spacing w:before="120" w:after="120" w:line="240" w:lineRule="auto"/>
      </w:pPr>
      <w:proofErr w:type="gramStart"/>
      <w:r w:rsidRPr="003E1335">
        <w:rPr>
          <w:b/>
        </w:rPr>
        <w:t>d</w:t>
      </w:r>
      <w:r w:rsidR="00617BF4" w:rsidRPr="003E1335">
        <w:rPr>
          <w:b/>
        </w:rPr>
        <w:t>eferred</w:t>
      </w:r>
      <w:proofErr w:type="gramEnd"/>
      <w:r w:rsidR="00617BF4" w:rsidRPr="003E1335">
        <w:rPr>
          <w:b/>
        </w:rPr>
        <w:t xml:space="preserve"> amount </w:t>
      </w:r>
      <w:r w:rsidR="00617BF4" w:rsidRPr="003E1335">
        <w:t xml:space="preserve">means the amount described in clause 1. </w:t>
      </w:r>
    </w:p>
    <w:p w:rsidR="00E5525F" w:rsidRPr="003E1335" w:rsidRDefault="00617BF4" w:rsidP="00A9789D">
      <w:pPr>
        <w:spacing w:before="120" w:after="120" w:line="240" w:lineRule="auto"/>
      </w:pPr>
      <w:r w:rsidRPr="003E1335">
        <w:rPr>
          <w:b/>
        </w:rPr>
        <w:t>D</w:t>
      </w:r>
      <w:r w:rsidR="00D61074">
        <w:rPr>
          <w:b/>
        </w:rPr>
        <w:t>eferred Payment Scheme Determination</w:t>
      </w:r>
      <w:r w:rsidR="00E5525F" w:rsidRPr="003E1335">
        <w:rPr>
          <w:b/>
        </w:rPr>
        <w:t xml:space="preserve"> </w:t>
      </w:r>
      <w:r w:rsidR="00E5525F" w:rsidRPr="003E1335">
        <w:t xml:space="preserve">means the </w:t>
      </w:r>
      <w:hyperlink r:id="rId11" w:history="1">
        <w:r w:rsidR="00E5525F" w:rsidRPr="0017288B">
          <w:rPr>
            <w:rStyle w:val="Hyperlink"/>
          </w:rPr>
          <w:t>Planning and Development (Lease Variation Charge Deferred Payment Scheme) Determination 2018</w:t>
        </w:r>
        <w:r w:rsidR="00D61074" w:rsidRPr="0017288B">
          <w:rPr>
            <w:rStyle w:val="Hyperlink"/>
          </w:rPr>
          <w:t xml:space="preserve"> – DI2018-</w:t>
        </w:r>
        <w:r w:rsidR="00FD28F2" w:rsidRPr="0017288B">
          <w:rPr>
            <w:rStyle w:val="Hyperlink"/>
          </w:rPr>
          <w:t>88</w:t>
        </w:r>
      </w:hyperlink>
      <w:r w:rsidR="00E5525F" w:rsidRPr="003E1335">
        <w:t>, and includes any other disallowable instrument determined by the Treasurer in accordance with section 279AA(1)(b), section 279AA(1)(c), and section 279AC(2) of the Planning and Development Act.</w:t>
      </w:r>
    </w:p>
    <w:p w:rsidR="000929D0" w:rsidRPr="003E1335" w:rsidRDefault="00285400" w:rsidP="00A9789D">
      <w:pPr>
        <w:spacing w:before="120" w:after="120" w:line="240" w:lineRule="auto"/>
      </w:pPr>
      <w:r>
        <w:rPr>
          <w:b/>
        </w:rPr>
        <w:t>Environmental Sustainability Determination</w:t>
      </w:r>
      <w:r w:rsidR="000929D0" w:rsidRPr="003E1335">
        <w:t xml:space="preserve"> means the </w:t>
      </w:r>
      <w:hyperlink r:id="rId12" w:history="1">
        <w:r w:rsidR="000929D0" w:rsidRPr="0017288B">
          <w:rPr>
            <w:rStyle w:val="Hyperlink"/>
          </w:rPr>
          <w:t>Planning and Development (Remission of Lease Variation Charges</w:t>
        </w:r>
        <w:r w:rsidRPr="0017288B">
          <w:rPr>
            <w:rStyle w:val="Hyperlink"/>
          </w:rPr>
          <w:t>-Environmental S</w:t>
        </w:r>
        <w:r w:rsidR="00D61074" w:rsidRPr="0017288B">
          <w:rPr>
            <w:rStyle w:val="Hyperlink"/>
          </w:rPr>
          <w:t>u</w:t>
        </w:r>
        <w:r w:rsidRPr="0017288B">
          <w:rPr>
            <w:rStyle w:val="Hyperlink"/>
          </w:rPr>
          <w:t>stainability</w:t>
        </w:r>
        <w:r w:rsidR="000929D0" w:rsidRPr="0017288B">
          <w:rPr>
            <w:rStyle w:val="Hyperlink"/>
          </w:rPr>
          <w:t xml:space="preserve">) Determination 2018 (No 2) </w:t>
        </w:r>
        <w:r w:rsidR="00D61074" w:rsidRPr="0017288B">
          <w:rPr>
            <w:rStyle w:val="Hyperlink"/>
          </w:rPr>
          <w:t xml:space="preserve">- </w:t>
        </w:r>
        <w:r w:rsidR="005703E1" w:rsidRPr="0017288B">
          <w:rPr>
            <w:rStyle w:val="Hyperlink"/>
          </w:rPr>
          <w:t>DI2018-</w:t>
        </w:r>
        <w:r w:rsidR="00FD28F2" w:rsidRPr="0017288B">
          <w:rPr>
            <w:rStyle w:val="Hyperlink"/>
          </w:rPr>
          <w:t>89</w:t>
        </w:r>
      </w:hyperlink>
      <w:r w:rsidR="005703E1" w:rsidRPr="0017288B">
        <w:t xml:space="preserve"> </w:t>
      </w:r>
      <w:r w:rsidR="000929D0" w:rsidRPr="003E1335">
        <w:t>determined by the Minister for Planning and Land Management and the Treasurer in accordance with section 278 of the Planning and Development Act.</w:t>
      </w:r>
    </w:p>
    <w:p w:rsidR="00F83DED" w:rsidRDefault="00F83DED" w:rsidP="00A9789D">
      <w:pPr>
        <w:spacing w:before="120" w:after="120" w:line="240" w:lineRule="auto"/>
      </w:pPr>
      <w:r w:rsidRPr="003E1335">
        <w:rPr>
          <w:b/>
        </w:rPr>
        <w:t>Licensed building assessor</w:t>
      </w:r>
      <w:r w:rsidRPr="003E1335">
        <w:t xml:space="preserve"> means an assessor licensed under the </w:t>
      </w:r>
      <w:hyperlink r:id="rId13" w:history="1">
        <w:r w:rsidRPr="0017288B">
          <w:rPr>
            <w:rStyle w:val="Hyperlink"/>
            <w:i/>
          </w:rPr>
          <w:t>Construction Occupations (Licensing) Act 2004</w:t>
        </w:r>
      </w:hyperlink>
      <w:r w:rsidRPr="003E1335">
        <w:t xml:space="preserve"> for carrying out energy assessment work.</w:t>
      </w:r>
    </w:p>
    <w:p w:rsidR="005B6E78" w:rsidRPr="003E1335" w:rsidRDefault="005B6E78" w:rsidP="00A9789D">
      <w:pPr>
        <w:spacing w:before="120" w:after="120" w:line="240" w:lineRule="auto"/>
      </w:pPr>
      <w:r w:rsidRPr="004C0D94">
        <w:rPr>
          <w:b/>
        </w:rPr>
        <w:t>LVC</w:t>
      </w:r>
      <w:r>
        <w:t xml:space="preserve"> means a lease variation charge</w:t>
      </w:r>
      <w:r w:rsidR="00E47C5B">
        <w:t xml:space="preserve"> within the meaning of Division 9.6.3 of the Planning and Development Act.</w:t>
      </w:r>
    </w:p>
    <w:p w:rsidR="00C32386" w:rsidRPr="003E1335" w:rsidRDefault="00C32386" w:rsidP="00A9789D">
      <w:pPr>
        <w:spacing w:before="120" w:after="120" w:line="240" w:lineRule="auto"/>
      </w:pPr>
      <w:r w:rsidRPr="003E1335">
        <w:rPr>
          <w:b/>
        </w:rPr>
        <w:lastRenderedPageBreak/>
        <w:t>Planning and Development Act</w:t>
      </w:r>
      <w:r w:rsidR="00382791" w:rsidRPr="003E1335">
        <w:t xml:space="preserve"> means the </w:t>
      </w:r>
      <w:hyperlink r:id="rId14" w:history="1">
        <w:r w:rsidR="00382791" w:rsidRPr="0017288B">
          <w:rPr>
            <w:rStyle w:val="Hyperlink"/>
            <w:i/>
          </w:rPr>
          <w:t>Planning and Development Act 2007</w:t>
        </w:r>
      </w:hyperlink>
      <w:r w:rsidR="00382791" w:rsidRPr="003E1335">
        <w:t>.</w:t>
      </w:r>
    </w:p>
    <w:p w:rsidR="00617BF4" w:rsidRPr="003E1335" w:rsidRDefault="00617BF4" w:rsidP="00A9789D">
      <w:pPr>
        <w:spacing w:before="120" w:after="120" w:line="240" w:lineRule="auto"/>
      </w:pPr>
      <w:proofErr w:type="gramStart"/>
      <w:r w:rsidRPr="003E1335">
        <w:rPr>
          <w:b/>
        </w:rPr>
        <w:t>remission</w:t>
      </w:r>
      <w:proofErr w:type="gramEnd"/>
      <w:r w:rsidRPr="003E1335">
        <w:rPr>
          <w:b/>
        </w:rPr>
        <w:t xml:space="preserve"> amount</w:t>
      </w:r>
      <w:r w:rsidRPr="003E1335">
        <w:t xml:space="preserve"> means the amount calculated in accordance with </w:t>
      </w:r>
      <w:r w:rsidR="005703E1">
        <w:t>the Environmental Sustainability Determination</w:t>
      </w:r>
      <w:r w:rsidRPr="003E1335">
        <w:t xml:space="preserve"> </w:t>
      </w:r>
      <w:r w:rsidR="005703E1">
        <w:t>described in the notice of assessment issued to</w:t>
      </w:r>
      <w:r w:rsidR="005703E1" w:rsidRPr="005703E1">
        <w:t xml:space="preserve"> </w:t>
      </w:r>
      <w:r w:rsidR="005703E1" w:rsidRPr="003E1335">
        <w:t>an applicant under section 276D of the Planning and Development Act</w:t>
      </w:r>
      <w:r w:rsidR="00F85285">
        <w:t>.</w:t>
      </w:r>
    </w:p>
    <w:p w:rsidR="006B46E4" w:rsidRPr="003E1335" w:rsidRDefault="006B46E4" w:rsidP="00A9789D">
      <w:pPr>
        <w:spacing w:before="120" w:after="120" w:line="240" w:lineRule="auto"/>
      </w:pPr>
      <w:r w:rsidRPr="003E1335">
        <w:rPr>
          <w:b/>
        </w:rPr>
        <w:t>Schedule</w:t>
      </w:r>
      <w:r w:rsidRPr="003E1335">
        <w:t xml:space="preserve"> means the Schedule to this deferral arrangement.</w:t>
      </w:r>
    </w:p>
    <w:p w:rsidR="00C32386" w:rsidRPr="003E1335" w:rsidRDefault="00C32386" w:rsidP="00A9789D">
      <w:pPr>
        <w:spacing w:before="120" w:after="120" w:line="240" w:lineRule="auto"/>
      </w:pPr>
      <w:r w:rsidRPr="003E1335">
        <w:rPr>
          <w:b/>
        </w:rPr>
        <w:t>Taxation Administration Act</w:t>
      </w:r>
      <w:r w:rsidRPr="003E1335">
        <w:t xml:space="preserve"> </w:t>
      </w:r>
      <w:r w:rsidR="00382791" w:rsidRPr="003E1335">
        <w:t xml:space="preserve">means the </w:t>
      </w:r>
      <w:hyperlink r:id="rId15" w:history="1">
        <w:r w:rsidR="00382791" w:rsidRPr="0017288B">
          <w:rPr>
            <w:rStyle w:val="Hyperlink"/>
            <w:i/>
          </w:rPr>
          <w:t>Taxation Administration Act 1999</w:t>
        </w:r>
      </w:hyperlink>
      <w:r w:rsidR="00382791" w:rsidRPr="003E1335">
        <w:t>.</w:t>
      </w:r>
    </w:p>
    <w:p w:rsidR="009F0581" w:rsidRPr="003E1335" w:rsidRDefault="009F0581" w:rsidP="00A9789D">
      <w:pPr>
        <w:spacing w:before="120" w:after="120" w:line="240" w:lineRule="auto"/>
      </w:pPr>
      <w:proofErr w:type="gramStart"/>
      <w:r w:rsidRPr="003E1335">
        <w:rPr>
          <w:b/>
          <w:i/>
        </w:rPr>
        <w:t>tax</w:t>
      </w:r>
      <w:proofErr w:type="gramEnd"/>
      <w:r w:rsidRPr="003E1335">
        <w:rPr>
          <w:b/>
          <w:i/>
        </w:rPr>
        <w:t xml:space="preserve"> default</w:t>
      </w:r>
      <w:r w:rsidR="00762C32" w:rsidRPr="003E1335">
        <w:t xml:space="preserve"> for the purposes of the Taxation Administration Act, means a failure by a taxpayer to pay, in accordance with a tax law, the whole or part of tax that the taxpayer is liable to pay.</w:t>
      </w:r>
    </w:p>
    <w:p w:rsidR="00C32386" w:rsidRPr="003E1335" w:rsidRDefault="00C32386" w:rsidP="004E3146">
      <w:pPr>
        <w:spacing w:before="120" w:after="120" w:line="240" w:lineRule="auto"/>
      </w:pPr>
    </w:p>
    <w:p w:rsidR="003E1335" w:rsidRDefault="003E1335">
      <w:pPr>
        <w:rPr>
          <w:b/>
        </w:rPr>
      </w:pPr>
      <w:r>
        <w:rPr>
          <w:b/>
        </w:rPr>
        <w:br w:type="page"/>
      </w:r>
    </w:p>
    <w:p w:rsidR="004E3146" w:rsidRPr="003E1335" w:rsidRDefault="00DB3FBD" w:rsidP="00EE42EF">
      <w:pPr>
        <w:spacing w:before="120" w:after="120" w:line="240" w:lineRule="auto"/>
        <w:rPr>
          <w:b/>
        </w:rPr>
      </w:pPr>
      <w:r w:rsidRPr="003E1335">
        <w:rPr>
          <w:b/>
        </w:rPr>
        <w:lastRenderedPageBreak/>
        <w:t>Execution of agreement</w:t>
      </w:r>
    </w:p>
    <w:p w:rsidR="00880E40" w:rsidRPr="003E1335" w:rsidRDefault="00880E40" w:rsidP="00EE42EF">
      <w:pPr>
        <w:spacing w:before="120" w:after="120" w:line="240" w:lineRule="auto"/>
      </w:pPr>
    </w:p>
    <w:p w:rsidR="00880E40" w:rsidRPr="003E1335" w:rsidRDefault="00880E40" w:rsidP="00EE42EF">
      <w:pPr>
        <w:spacing w:before="120" w:after="120" w:line="240" w:lineRule="auto"/>
        <w:rPr>
          <w:b/>
          <w:i/>
        </w:rPr>
      </w:pPr>
      <w:r w:rsidRPr="003E1335">
        <w:rPr>
          <w:b/>
          <w:i/>
        </w:rPr>
        <w:t>Applicant/Lessee</w:t>
      </w:r>
    </w:p>
    <w:p w:rsidR="00955088" w:rsidRPr="003E1335" w:rsidRDefault="004E3146" w:rsidP="00EE42EF">
      <w:pPr>
        <w:spacing w:before="120" w:after="120" w:line="240" w:lineRule="auto"/>
      </w:pPr>
      <w:r w:rsidRPr="003E1335">
        <w:t xml:space="preserve">I agree to the terms and conditions of this deferral </w:t>
      </w:r>
      <w:r w:rsidR="008620E6">
        <w:t>arrangement</w:t>
      </w:r>
      <w:r w:rsidRPr="003E1335">
        <w:t>:</w:t>
      </w:r>
    </w:p>
    <w:p w:rsidR="00880E40" w:rsidRPr="003E1335" w:rsidRDefault="00880E40" w:rsidP="00EE42EF">
      <w:pPr>
        <w:spacing w:before="120" w:after="120" w:line="240" w:lineRule="auto"/>
      </w:pPr>
    </w:p>
    <w:p w:rsidR="004E3146" w:rsidRPr="003E1335" w:rsidRDefault="00880E40" w:rsidP="00EE42EF">
      <w:pPr>
        <w:spacing w:before="120" w:after="120" w:line="240" w:lineRule="auto"/>
      </w:pPr>
      <w:r w:rsidRPr="003E1335">
        <w:t>Name of Applicant/s:</w:t>
      </w:r>
    </w:p>
    <w:p w:rsidR="004E3146" w:rsidRPr="003E1335" w:rsidRDefault="004E3146" w:rsidP="00EE42EF">
      <w:pPr>
        <w:spacing w:before="120" w:after="120" w:line="240" w:lineRule="auto"/>
      </w:pPr>
      <w:r w:rsidRPr="003E1335">
        <w:t>Signature</w:t>
      </w:r>
      <w:r w:rsidR="00880E40" w:rsidRPr="003E1335">
        <w:t xml:space="preserve"> Applicant/s</w:t>
      </w:r>
      <w:r w:rsidR="00880E40" w:rsidRPr="003E1335">
        <w:tab/>
      </w:r>
      <w:r w:rsidR="00880E40" w:rsidRPr="003E1335">
        <w:tab/>
      </w:r>
      <w:r w:rsidR="00880E40" w:rsidRPr="003E1335">
        <w:tab/>
      </w:r>
      <w:r w:rsidR="00880E40" w:rsidRPr="003E1335">
        <w:tab/>
      </w:r>
      <w:r w:rsidR="00880E40" w:rsidRPr="003E1335">
        <w:tab/>
      </w:r>
      <w:r w:rsidR="00880E40" w:rsidRPr="003E1335">
        <w:tab/>
        <w:t>Date:</w:t>
      </w:r>
    </w:p>
    <w:p w:rsidR="00880E40" w:rsidRPr="003E1335" w:rsidRDefault="00880E40" w:rsidP="00EE42EF">
      <w:pPr>
        <w:spacing w:before="120" w:after="120" w:line="240" w:lineRule="auto"/>
      </w:pPr>
    </w:p>
    <w:p w:rsidR="00880E40" w:rsidRPr="003E1335" w:rsidRDefault="00880E40" w:rsidP="00EE42EF">
      <w:pPr>
        <w:spacing w:before="120" w:after="120" w:line="240" w:lineRule="auto"/>
      </w:pPr>
      <w:r w:rsidRPr="003E1335">
        <w:t>Witness:</w:t>
      </w:r>
    </w:p>
    <w:p w:rsidR="00880E40" w:rsidRPr="003E1335" w:rsidRDefault="00880E40" w:rsidP="00EE42EF">
      <w:pPr>
        <w:spacing w:before="120" w:after="120" w:line="240" w:lineRule="auto"/>
      </w:pPr>
    </w:p>
    <w:p w:rsidR="00880E40" w:rsidRPr="003E1335" w:rsidRDefault="00880E40" w:rsidP="00EE42EF">
      <w:pPr>
        <w:spacing w:before="120" w:after="120" w:line="240" w:lineRule="auto"/>
      </w:pPr>
      <w:r w:rsidRPr="003E1335">
        <w:t>Name of Lessee/s:</w:t>
      </w:r>
    </w:p>
    <w:p w:rsidR="00880E40" w:rsidRPr="003E1335" w:rsidRDefault="00880E40" w:rsidP="00EE42EF">
      <w:pPr>
        <w:spacing w:before="120" w:after="120" w:line="240" w:lineRule="auto"/>
      </w:pPr>
      <w:r w:rsidRPr="003E1335">
        <w:t>Signature Lessee/s</w:t>
      </w:r>
      <w:r w:rsidRPr="003E1335">
        <w:tab/>
      </w:r>
      <w:r w:rsidRPr="003E1335">
        <w:tab/>
      </w:r>
      <w:r w:rsidRPr="003E1335">
        <w:tab/>
      </w:r>
      <w:r w:rsidRPr="003E1335">
        <w:tab/>
      </w:r>
      <w:r w:rsidRPr="003E1335">
        <w:tab/>
      </w:r>
      <w:r w:rsidRPr="003E1335">
        <w:tab/>
        <w:t>Date:</w:t>
      </w:r>
    </w:p>
    <w:p w:rsidR="004E3146" w:rsidRPr="003E1335" w:rsidRDefault="004E3146" w:rsidP="00EE42EF">
      <w:pPr>
        <w:spacing w:before="120" w:after="120" w:line="240" w:lineRule="auto"/>
      </w:pPr>
    </w:p>
    <w:p w:rsidR="00880E40" w:rsidRPr="003E1335" w:rsidRDefault="00880E40" w:rsidP="00EE42EF">
      <w:pPr>
        <w:spacing w:before="120" w:after="120" w:line="240" w:lineRule="auto"/>
      </w:pPr>
      <w:r w:rsidRPr="003E1335">
        <w:t>Witness:</w:t>
      </w:r>
    </w:p>
    <w:p w:rsidR="00880E40" w:rsidRPr="00BE7800" w:rsidRDefault="00880E40">
      <w:pPr>
        <w:rPr>
          <w:i/>
          <w:u w:val="dotted"/>
        </w:rPr>
      </w:pPr>
    </w:p>
    <w:p w:rsidR="00880E40" w:rsidRPr="003E1335" w:rsidRDefault="00880E40">
      <w:pPr>
        <w:rPr>
          <w:b/>
          <w:i/>
        </w:rPr>
      </w:pPr>
      <w:r w:rsidRPr="003E1335">
        <w:rPr>
          <w:b/>
          <w:i/>
        </w:rPr>
        <w:t xml:space="preserve">Commissioner for </w:t>
      </w:r>
      <w:r w:rsidR="009A1BA9">
        <w:rPr>
          <w:b/>
          <w:i/>
        </w:rPr>
        <w:t xml:space="preserve">ACT </w:t>
      </w:r>
      <w:r w:rsidRPr="003E1335">
        <w:rPr>
          <w:b/>
          <w:i/>
        </w:rPr>
        <w:t>Revenue</w:t>
      </w:r>
    </w:p>
    <w:p w:rsidR="00880E40" w:rsidRPr="003E1335" w:rsidRDefault="00880E40">
      <w:r w:rsidRPr="003E1335">
        <w:t>Name of delegate:</w:t>
      </w:r>
    </w:p>
    <w:p w:rsidR="00880E40" w:rsidRPr="003E1335" w:rsidRDefault="00880E40">
      <w:r w:rsidRPr="003E1335">
        <w:t>Signature of delegate</w:t>
      </w:r>
      <w:r w:rsidRPr="003E1335">
        <w:tab/>
      </w:r>
      <w:r w:rsidRPr="003E1335">
        <w:tab/>
      </w:r>
      <w:r w:rsidRPr="003E1335">
        <w:tab/>
      </w:r>
      <w:r w:rsidRPr="003E1335">
        <w:tab/>
      </w:r>
      <w:r w:rsidRPr="003E1335">
        <w:tab/>
      </w:r>
      <w:r w:rsidRPr="003E1335">
        <w:tab/>
        <w:t>Date:</w:t>
      </w:r>
      <w:r w:rsidRPr="003E1335">
        <w:br w:type="page"/>
      </w:r>
    </w:p>
    <w:p w:rsidR="00EE42EF" w:rsidRPr="003E1335" w:rsidRDefault="00EE42EF" w:rsidP="00423DFD">
      <w:pPr>
        <w:spacing w:before="120" w:after="120" w:line="240" w:lineRule="auto"/>
        <w:jc w:val="center"/>
        <w:rPr>
          <w:b/>
          <w:caps/>
        </w:rPr>
      </w:pPr>
      <w:r w:rsidRPr="003E1335">
        <w:rPr>
          <w:b/>
          <w:caps/>
        </w:rPr>
        <w:lastRenderedPageBreak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1335" w:rsidRPr="003E1335" w:rsidTr="00EE42EF">
        <w:tc>
          <w:tcPr>
            <w:tcW w:w="4508" w:type="dxa"/>
          </w:tcPr>
          <w:p w:rsidR="00955088" w:rsidRPr="003E1335" w:rsidRDefault="00955088" w:rsidP="00EE42EF">
            <w:pPr>
              <w:spacing w:before="120" w:after="120"/>
            </w:pPr>
            <w:r w:rsidRPr="003E1335">
              <w:t>Applicant</w:t>
            </w:r>
          </w:p>
        </w:tc>
        <w:tc>
          <w:tcPr>
            <w:tcW w:w="4508" w:type="dxa"/>
          </w:tcPr>
          <w:p w:rsidR="00955088" w:rsidRPr="003E1335" w:rsidRDefault="00955088" w:rsidP="00EE42EF">
            <w:pPr>
              <w:spacing w:before="120" w:after="120"/>
            </w:pPr>
            <w:r w:rsidRPr="003E1335">
              <w:t>Full name:</w:t>
            </w:r>
          </w:p>
          <w:p w:rsidR="00955088" w:rsidRPr="003E1335" w:rsidRDefault="00955088" w:rsidP="00EE42EF">
            <w:pPr>
              <w:spacing w:before="120" w:after="120"/>
            </w:pPr>
            <w:r w:rsidRPr="003E1335">
              <w:t>Address:</w:t>
            </w:r>
          </w:p>
          <w:p w:rsidR="00955088" w:rsidRPr="003E1335" w:rsidRDefault="00955088" w:rsidP="00EE42EF">
            <w:pPr>
              <w:spacing w:before="120" w:after="120"/>
            </w:pPr>
            <w:r w:rsidRPr="003E1335">
              <w:t>Contact details:</w:t>
            </w:r>
          </w:p>
        </w:tc>
      </w:tr>
      <w:tr w:rsidR="003E1335" w:rsidRPr="003E1335" w:rsidTr="00EE42EF">
        <w:tc>
          <w:tcPr>
            <w:tcW w:w="4508" w:type="dxa"/>
          </w:tcPr>
          <w:p w:rsidR="00955088" w:rsidRPr="003E1335" w:rsidRDefault="00955088" w:rsidP="00741C5F">
            <w:pPr>
              <w:spacing w:before="120" w:after="120"/>
            </w:pPr>
            <w:r w:rsidRPr="003E1335">
              <w:t>Lessee</w:t>
            </w:r>
            <w:r w:rsidR="00AC7652">
              <w:t>, if not the applicant</w:t>
            </w:r>
          </w:p>
        </w:tc>
        <w:tc>
          <w:tcPr>
            <w:tcW w:w="4508" w:type="dxa"/>
          </w:tcPr>
          <w:p w:rsidR="00955088" w:rsidRPr="003E1335" w:rsidRDefault="00955088" w:rsidP="00955088">
            <w:pPr>
              <w:spacing w:before="120" w:after="120"/>
            </w:pPr>
            <w:r w:rsidRPr="003E1335">
              <w:t>Full name:</w:t>
            </w:r>
          </w:p>
          <w:p w:rsidR="00955088" w:rsidRPr="003E1335" w:rsidRDefault="00955088" w:rsidP="00955088">
            <w:pPr>
              <w:spacing w:before="120" w:after="120"/>
            </w:pPr>
            <w:r w:rsidRPr="003E1335">
              <w:t>Address:</w:t>
            </w:r>
          </w:p>
          <w:p w:rsidR="00955088" w:rsidRPr="003E1335" w:rsidRDefault="00955088" w:rsidP="00955088">
            <w:pPr>
              <w:spacing w:before="120" w:after="120"/>
            </w:pPr>
            <w:r w:rsidRPr="003E1335">
              <w:t>Contact details:</w:t>
            </w:r>
          </w:p>
        </w:tc>
      </w:tr>
      <w:tr w:rsidR="003E1335" w:rsidRPr="003E1335" w:rsidTr="00EE42EF">
        <w:tc>
          <w:tcPr>
            <w:tcW w:w="4508" w:type="dxa"/>
          </w:tcPr>
          <w:p w:rsidR="00955088" w:rsidRPr="003E1335" w:rsidRDefault="00DE170A" w:rsidP="00EE42EF">
            <w:pPr>
              <w:spacing w:before="120" w:after="120"/>
            </w:pPr>
            <w:r w:rsidRPr="003E1335">
              <w:t>Land, the subject of the lease variation</w:t>
            </w:r>
          </w:p>
        </w:tc>
        <w:tc>
          <w:tcPr>
            <w:tcW w:w="4508" w:type="dxa"/>
          </w:tcPr>
          <w:p w:rsidR="00955088" w:rsidRDefault="00441D26" w:rsidP="00EE42EF">
            <w:pPr>
              <w:spacing w:before="120" w:after="120"/>
            </w:pPr>
            <w:r>
              <w:t>Suburb:</w:t>
            </w:r>
          </w:p>
          <w:p w:rsidR="00441D26" w:rsidRDefault="00441D26" w:rsidP="00EE42EF">
            <w:pPr>
              <w:spacing w:before="120" w:after="120"/>
            </w:pPr>
            <w:r>
              <w:t>Section:</w:t>
            </w:r>
          </w:p>
          <w:p w:rsidR="00441D26" w:rsidRPr="003E1335" w:rsidRDefault="00441D26" w:rsidP="00EE42EF">
            <w:pPr>
              <w:spacing w:before="120" w:after="120"/>
            </w:pPr>
            <w:r>
              <w:t>Block:</w:t>
            </w:r>
          </w:p>
        </w:tc>
      </w:tr>
      <w:tr w:rsidR="003E1335" w:rsidRPr="003E1335" w:rsidTr="00EE42EF">
        <w:tc>
          <w:tcPr>
            <w:tcW w:w="4508" w:type="dxa"/>
          </w:tcPr>
          <w:p w:rsidR="00955088" w:rsidRPr="003E1335" w:rsidRDefault="00955088" w:rsidP="00EE42EF">
            <w:pPr>
              <w:spacing w:before="120" w:after="120"/>
            </w:pPr>
            <w:r w:rsidRPr="003E1335">
              <w:t>Development application</w:t>
            </w:r>
          </w:p>
        </w:tc>
        <w:tc>
          <w:tcPr>
            <w:tcW w:w="4508" w:type="dxa"/>
          </w:tcPr>
          <w:p w:rsidR="00955088" w:rsidRPr="003E1335" w:rsidRDefault="00955088" w:rsidP="00DE170A">
            <w:pPr>
              <w:spacing w:before="120" w:after="120"/>
            </w:pPr>
            <w:r w:rsidRPr="003E1335">
              <w:t xml:space="preserve">Development Application No.: </w:t>
            </w:r>
          </w:p>
        </w:tc>
      </w:tr>
      <w:tr w:rsidR="003E1335" w:rsidRPr="003E1335" w:rsidTr="00EE42EF">
        <w:tc>
          <w:tcPr>
            <w:tcW w:w="4508" w:type="dxa"/>
          </w:tcPr>
          <w:p w:rsidR="00EE42EF" w:rsidRPr="003E1335" w:rsidRDefault="00741C5F" w:rsidP="00DE170A">
            <w:pPr>
              <w:spacing w:before="120" w:after="120"/>
            </w:pPr>
            <w:r w:rsidRPr="003E1335">
              <w:t xml:space="preserve">The amount of the </w:t>
            </w:r>
            <w:r>
              <w:t xml:space="preserve">LVC </w:t>
            </w:r>
            <w:r w:rsidRPr="003E1335">
              <w:t xml:space="preserve">payable </w:t>
            </w:r>
            <w:r>
              <w:t>described</w:t>
            </w:r>
            <w:r w:rsidRPr="003E1335">
              <w:t xml:space="preserve"> in the notice of assessment </w:t>
            </w:r>
            <w:r w:rsidR="00382791" w:rsidRPr="003E1335">
              <w:t>(cl.1.1)</w:t>
            </w:r>
          </w:p>
        </w:tc>
        <w:tc>
          <w:tcPr>
            <w:tcW w:w="4508" w:type="dxa"/>
          </w:tcPr>
          <w:p w:rsidR="00EE42EF" w:rsidRPr="00441D26" w:rsidRDefault="00441D26" w:rsidP="004C0D94">
            <w:pPr>
              <w:spacing w:before="120" w:after="120"/>
              <w:rPr>
                <w:u w:val="dotted"/>
              </w:rPr>
            </w:pPr>
            <w:r w:rsidRPr="00441D26">
              <w:t>$</w:t>
            </w:r>
          </w:p>
        </w:tc>
      </w:tr>
      <w:tr w:rsidR="003E1335" w:rsidRPr="003E1335" w:rsidTr="00EE42EF">
        <w:tc>
          <w:tcPr>
            <w:tcW w:w="4508" w:type="dxa"/>
          </w:tcPr>
          <w:p w:rsidR="00DE170A" w:rsidRPr="003E1335" w:rsidRDefault="00DE170A" w:rsidP="00DE170A">
            <w:pPr>
              <w:spacing w:before="120" w:after="120"/>
            </w:pPr>
            <w:r w:rsidRPr="003E1335">
              <w:t xml:space="preserve">Remission amount </w:t>
            </w:r>
            <w:r w:rsidR="00BA22D5">
              <w:t>(cl.25)</w:t>
            </w:r>
          </w:p>
        </w:tc>
        <w:tc>
          <w:tcPr>
            <w:tcW w:w="4508" w:type="dxa"/>
          </w:tcPr>
          <w:p w:rsidR="00DE170A" w:rsidRPr="00441D26" w:rsidRDefault="00441D26" w:rsidP="00DE170A">
            <w:pPr>
              <w:spacing w:before="120" w:after="120"/>
              <w:rPr>
                <w:u w:val="dotted"/>
              </w:rPr>
            </w:pPr>
            <w:r w:rsidRPr="00441D26">
              <w:t>$</w:t>
            </w:r>
          </w:p>
        </w:tc>
      </w:tr>
      <w:tr w:rsidR="003E1335" w:rsidRPr="003E1335" w:rsidTr="00EE42EF">
        <w:tc>
          <w:tcPr>
            <w:tcW w:w="4508" w:type="dxa"/>
          </w:tcPr>
          <w:p w:rsidR="00880E40" w:rsidRPr="003E1335" w:rsidRDefault="00866FD0" w:rsidP="00BA22D5">
            <w:pPr>
              <w:spacing w:before="120" w:after="120"/>
            </w:pPr>
            <w:r w:rsidRPr="003E1335">
              <w:t>The d</w:t>
            </w:r>
            <w:r w:rsidR="00880E40" w:rsidRPr="003E1335">
              <w:t>ate a certificate of occupancy is issued for part of the building work for the development to which the lease variation relates</w:t>
            </w:r>
            <w:r w:rsidR="00BA22D5">
              <w:t xml:space="preserve"> (cl 4</w:t>
            </w:r>
            <w:r w:rsidR="00880E40" w:rsidRPr="003E1335">
              <w:t>.1)</w:t>
            </w:r>
          </w:p>
        </w:tc>
        <w:tc>
          <w:tcPr>
            <w:tcW w:w="4508" w:type="dxa"/>
          </w:tcPr>
          <w:p w:rsidR="00701D66" w:rsidRPr="003E1335" w:rsidRDefault="00701D66" w:rsidP="00701D66">
            <w:pPr>
              <w:spacing w:before="120" w:after="120"/>
            </w:pPr>
          </w:p>
        </w:tc>
      </w:tr>
      <w:tr w:rsidR="003E1335" w:rsidRPr="003E1335" w:rsidTr="00EE42EF">
        <w:tc>
          <w:tcPr>
            <w:tcW w:w="4508" w:type="dxa"/>
          </w:tcPr>
          <w:p w:rsidR="00DE170A" w:rsidRPr="003E1335" w:rsidRDefault="00BA22D5" w:rsidP="00BA22D5">
            <w:pPr>
              <w:spacing w:before="120" w:after="120"/>
            </w:pPr>
            <w:r>
              <w:t>Bank account</w:t>
            </w:r>
            <w:r w:rsidR="00DE170A" w:rsidRPr="003E1335">
              <w:t xml:space="preserve"> details</w:t>
            </w:r>
            <w:r>
              <w:t xml:space="preserve"> (cl.8)</w:t>
            </w:r>
          </w:p>
        </w:tc>
        <w:tc>
          <w:tcPr>
            <w:tcW w:w="4508" w:type="dxa"/>
          </w:tcPr>
          <w:p w:rsidR="00DE170A" w:rsidRPr="003E1335" w:rsidRDefault="00DE170A" w:rsidP="00DE170A">
            <w:pPr>
              <w:spacing w:before="120" w:after="120"/>
              <w:rPr>
                <w:i/>
                <w:u w:val="dotted"/>
              </w:rPr>
            </w:pPr>
          </w:p>
        </w:tc>
      </w:tr>
      <w:tr w:rsidR="003E1335" w:rsidRPr="003E1335" w:rsidTr="00EE42EF">
        <w:tc>
          <w:tcPr>
            <w:tcW w:w="4508" w:type="dxa"/>
          </w:tcPr>
          <w:p w:rsidR="0078273A" w:rsidRPr="003E1335" w:rsidRDefault="0078273A" w:rsidP="0078273A">
            <w:pPr>
              <w:spacing w:before="120" w:after="120"/>
            </w:pPr>
            <w:r w:rsidRPr="003E1335">
              <w:t>Address for Objections (cl.15)</w:t>
            </w:r>
          </w:p>
        </w:tc>
        <w:tc>
          <w:tcPr>
            <w:tcW w:w="4508" w:type="dxa"/>
          </w:tcPr>
          <w:p w:rsidR="0078273A" w:rsidRPr="003E1335" w:rsidRDefault="009C604C" w:rsidP="009C604C">
            <w:r w:rsidRPr="003E1335">
              <w:t>By post: The Commissioner for ACT Revenue</w:t>
            </w:r>
          </w:p>
          <w:p w:rsidR="009C604C" w:rsidRPr="003E1335" w:rsidRDefault="009C604C" w:rsidP="009C604C">
            <w:r w:rsidRPr="003E1335">
              <w:t>PO Box 293</w:t>
            </w:r>
          </w:p>
          <w:p w:rsidR="009C604C" w:rsidRPr="003E1335" w:rsidRDefault="009C604C" w:rsidP="009C604C">
            <w:r w:rsidRPr="003E1335">
              <w:t>CIVIC SQUARE ACT 2608</w:t>
            </w:r>
          </w:p>
          <w:p w:rsidR="009C604C" w:rsidRPr="003E1335" w:rsidRDefault="009C604C" w:rsidP="009C604C"/>
          <w:p w:rsidR="009C604C" w:rsidRPr="003E1335" w:rsidRDefault="009C604C" w:rsidP="003E1335">
            <w:r w:rsidRPr="003E1335">
              <w:t>By email: objections@act.gov.au</w:t>
            </w:r>
          </w:p>
        </w:tc>
      </w:tr>
    </w:tbl>
    <w:p w:rsidR="00EE42EF" w:rsidRPr="003E1335" w:rsidRDefault="00EE42EF" w:rsidP="003E1335">
      <w:pPr>
        <w:spacing w:before="120" w:after="120" w:line="240" w:lineRule="auto"/>
      </w:pPr>
    </w:p>
    <w:sectPr w:rsidR="00EE42EF" w:rsidRPr="003E133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5E" w:rsidRDefault="00EC7F5E" w:rsidP="00E049E1">
      <w:pPr>
        <w:spacing w:after="0" w:line="240" w:lineRule="auto"/>
      </w:pPr>
      <w:r>
        <w:separator/>
      </w:r>
    </w:p>
  </w:endnote>
  <w:endnote w:type="continuationSeparator" w:id="0">
    <w:p w:rsidR="00EC7F5E" w:rsidRDefault="00EC7F5E" w:rsidP="00E0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E1" w:rsidRPr="00AC7652" w:rsidRDefault="00E049E1" w:rsidP="00AC7652">
    <w:pPr>
      <w:pStyle w:val="Footer"/>
      <w:jc w:val="center"/>
      <w:rPr>
        <w:sz w:val="18"/>
        <w:szCs w:val="18"/>
      </w:rPr>
    </w:pPr>
    <w:r w:rsidRPr="00AC7652">
      <w:rPr>
        <w:sz w:val="18"/>
        <w:szCs w:val="18"/>
      </w:rPr>
      <w:t>ACT Revenue Office – Lease Variation Charge Deferral Arrangement</w:t>
    </w:r>
  </w:p>
  <w:p w:rsidR="00E049E1" w:rsidRDefault="00EC7F5E">
    <w:pPr>
      <w:pStyle w:val="Footer"/>
      <w:jc w:val="right"/>
    </w:pPr>
    <w:sdt>
      <w:sdtPr>
        <w:id w:val="998311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49E1">
          <w:fldChar w:fldCharType="begin"/>
        </w:r>
        <w:r w:rsidR="00E049E1">
          <w:instrText xml:space="preserve"> PAGE   \* MERGEFORMAT </w:instrText>
        </w:r>
        <w:r w:rsidR="00E049E1">
          <w:fldChar w:fldCharType="separate"/>
        </w:r>
        <w:r w:rsidR="0017288B">
          <w:rPr>
            <w:noProof/>
          </w:rPr>
          <w:t>1</w:t>
        </w:r>
        <w:r w:rsidR="00E049E1">
          <w:rPr>
            <w:noProof/>
          </w:rPr>
          <w:fldChar w:fldCharType="end"/>
        </w:r>
      </w:sdtContent>
    </w:sdt>
  </w:p>
  <w:p w:rsidR="00E049E1" w:rsidRDefault="00E0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5E" w:rsidRDefault="00EC7F5E" w:rsidP="00E049E1">
      <w:pPr>
        <w:spacing w:after="0" w:line="240" w:lineRule="auto"/>
      </w:pPr>
      <w:r>
        <w:separator/>
      </w:r>
    </w:p>
  </w:footnote>
  <w:footnote w:type="continuationSeparator" w:id="0">
    <w:p w:rsidR="00EC7F5E" w:rsidRDefault="00EC7F5E" w:rsidP="00E0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DE9"/>
    <w:multiLevelType w:val="hybridMultilevel"/>
    <w:tmpl w:val="093802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7A2"/>
    <w:multiLevelType w:val="hybridMultilevel"/>
    <w:tmpl w:val="5580A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602"/>
    <w:multiLevelType w:val="hybridMultilevel"/>
    <w:tmpl w:val="EAB6FAEC"/>
    <w:lvl w:ilvl="0" w:tplc="C54EC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67CF"/>
    <w:multiLevelType w:val="hybridMultilevel"/>
    <w:tmpl w:val="7C5C51D2"/>
    <w:lvl w:ilvl="0" w:tplc="B114F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55D4"/>
    <w:multiLevelType w:val="hybridMultilevel"/>
    <w:tmpl w:val="67A0E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1267"/>
    <w:multiLevelType w:val="multilevel"/>
    <w:tmpl w:val="6840F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7"/>
    <w:rsid w:val="000000C0"/>
    <w:rsid w:val="00021CFC"/>
    <w:rsid w:val="00033FCE"/>
    <w:rsid w:val="000428EA"/>
    <w:rsid w:val="00060F7C"/>
    <w:rsid w:val="000929D0"/>
    <w:rsid w:val="000E4CF6"/>
    <w:rsid w:val="000E7458"/>
    <w:rsid w:val="000F3538"/>
    <w:rsid w:val="001055CD"/>
    <w:rsid w:val="00111F92"/>
    <w:rsid w:val="0012436A"/>
    <w:rsid w:val="00130C37"/>
    <w:rsid w:val="0014263E"/>
    <w:rsid w:val="00163CC1"/>
    <w:rsid w:val="0017288B"/>
    <w:rsid w:val="001A055F"/>
    <w:rsid w:val="001A2917"/>
    <w:rsid w:val="001D7C89"/>
    <w:rsid w:val="001E4724"/>
    <w:rsid w:val="00202B02"/>
    <w:rsid w:val="002035FE"/>
    <w:rsid w:val="00214DFE"/>
    <w:rsid w:val="00236AD5"/>
    <w:rsid w:val="00246DD3"/>
    <w:rsid w:val="002477FA"/>
    <w:rsid w:val="002549AF"/>
    <w:rsid w:val="00285400"/>
    <w:rsid w:val="00345CC0"/>
    <w:rsid w:val="00353CFC"/>
    <w:rsid w:val="00367495"/>
    <w:rsid w:val="00382791"/>
    <w:rsid w:val="003926AB"/>
    <w:rsid w:val="00395F4B"/>
    <w:rsid w:val="003A60DF"/>
    <w:rsid w:val="003D0AE7"/>
    <w:rsid w:val="003E1335"/>
    <w:rsid w:val="003F62DE"/>
    <w:rsid w:val="003F641F"/>
    <w:rsid w:val="004063DA"/>
    <w:rsid w:val="00423DFD"/>
    <w:rsid w:val="00441D26"/>
    <w:rsid w:val="00445F19"/>
    <w:rsid w:val="00480DB4"/>
    <w:rsid w:val="00484E85"/>
    <w:rsid w:val="0049547B"/>
    <w:rsid w:val="004A495F"/>
    <w:rsid w:val="004C0D94"/>
    <w:rsid w:val="004D0E6D"/>
    <w:rsid w:val="004E3146"/>
    <w:rsid w:val="004E5192"/>
    <w:rsid w:val="00507F91"/>
    <w:rsid w:val="00541670"/>
    <w:rsid w:val="00547F86"/>
    <w:rsid w:val="005703E1"/>
    <w:rsid w:val="0058617C"/>
    <w:rsid w:val="00591118"/>
    <w:rsid w:val="00594B32"/>
    <w:rsid w:val="005A3B44"/>
    <w:rsid w:val="005B658A"/>
    <w:rsid w:val="005B6E78"/>
    <w:rsid w:val="005C592F"/>
    <w:rsid w:val="005D139B"/>
    <w:rsid w:val="005D4EB4"/>
    <w:rsid w:val="005E6F60"/>
    <w:rsid w:val="005F5BCD"/>
    <w:rsid w:val="00617BF4"/>
    <w:rsid w:val="006252E1"/>
    <w:rsid w:val="00630D24"/>
    <w:rsid w:val="00650040"/>
    <w:rsid w:val="00662B0A"/>
    <w:rsid w:val="00670F62"/>
    <w:rsid w:val="006827E7"/>
    <w:rsid w:val="006A5679"/>
    <w:rsid w:val="006B1DD8"/>
    <w:rsid w:val="006B46E4"/>
    <w:rsid w:val="006D643A"/>
    <w:rsid w:val="006F03B5"/>
    <w:rsid w:val="006F1866"/>
    <w:rsid w:val="00701D66"/>
    <w:rsid w:val="00703582"/>
    <w:rsid w:val="00711CD7"/>
    <w:rsid w:val="007348C5"/>
    <w:rsid w:val="00741C5F"/>
    <w:rsid w:val="00745531"/>
    <w:rsid w:val="00762C32"/>
    <w:rsid w:val="00776CBA"/>
    <w:rsid w:val="0078273A"/>
    <w:rsid w:val="00782D79"/>
    <w:rsid w:val="007A20A1"/>
    <w:rsid w:val="007A550B"/>
    <w:rsid w:val="007A7939"/>
    <w:rsid w:val="007F7221"/>
    <w:rsid w:val="00811EA0"/>
    <w:rsid w:val="008336D3"/>
    <w:rsid w:val="008620E6"/>
    <w:rsid w:val="00866FD0"/>
    <w:rsid w:val="008738C8"/>
    <w:rsid w:val="00880E40"/>
    <w:rsid w:val="00881656"/>
    <w:rsid w:val="008B15BE"/>
    <w:rsid w:val="008C3500"/>
    <w:rsid w:val="008E3A21"/>
    <w:rsid w:val="009041EC"/>
    <w:rsid w:val="009077B6"/>
    <w:rsid w:val="00917CE1"/>
    <w:rsid w:val="009234DD"/>
    <w:rsid w:val="00926666"/>
    <w:rsid w:val="0092724C"/>
    <w:rsid w:val="00941A36"/>
    <w:rsid w:val="00944D03"/>
    <w:rsid w:val="00955088"/>
    <w:rsid w:val="0095615D"/>
    <w:rsid w:val="009562DE"/>
    <w:rsid w:val="00960717"/>
    <w:rsid w:val="0096424B"/>
    <w:rsid w:val="00972518"/>
    <w:rsid w:val="009A1BA9"/>
    <w:rsid w:val="009A29E0"/>
    <w:rsid w:val="009A3100"/>
    <w:rsid w:val="009C604C"/>
    <w:rsid w:val="009C6E4B"/>
    <w:rsid w:val="009E08DB"/>
    <w:rsid w:val="009E2329"/>
    <w:rsid w:val="009E4851"/>
    <w:rsid w:val="009F0581"/>
    <w:rsid w:val="00A03256"/>
    <w:rsid w:val="00A10736"/>
    <w:rsid w:val="00A11471"/>
    <w:rsid w:val="00A339D1"/>
    <w:rsid w:val="00A84061"/>
    <w:rsid w:val="00A9789D"/>
    <w:rsid w:val="00A97975"/>
    <w:rsid w:val="00A97A47"/>
    <w:rsid w:val="00AC7652"/>
    <w:rsid w:val="00B0153D"/>
    <w:rsid w:val="00B13459"/>
    <w:rsid w:val="00B14655"/>
    <w:rsid w:val="00B26259"/>
    <w:rsid w:val="00B471D3"/>
    <w:rsid w:val="00B6383D"/>
    <w:rsid w:val="00B7425D"/>
    <w:rsid w:val="00B74498"/>
    <w:rsid w:val="00B76E24"/>
    <w:rsid w:val="00BA22D5"/>
    <w:rsid w:val="00BA67C0"/>
    <w:rsid w:val="00BA7F4B"/>
    <w:rsid w:val="00BE7800"/>
    <w:rsid w:val="00C04212"/>
    <w:rsid w:val="00C04E54"/>
    <w:rsid w:val="00C06EE9"/>
    <w:rsid w:val="00C102D6"/>
    <w:rsid w:val="00C32386"/>
    <w:rsid w:val="00C826C3"/>
    <w:rsid w:val="00CC2737"/>
    <w:rsid w:val="00CE505C"/>
    <w:rsid w:val="00CF10AD"/>
    <w:rsid w:val="00D54240"/>
    <w:rsid w:val="00D61074"/>
    <w:rsid w:val="00D64A47"/>
    <w:rsid w:val="00D87D15"/>
    <w:rsid w:val="00DB3FBD"/>
    <w:rsid w:val="00DC2992"/>
    <w:rsid w:val="00DE170A"/>
    <w:rsid w:val="00DE5CCE"/>
    <w:rsid w:val="00DE7688"/>
    <w:rsid w:val="00E00467"/>
    <w:rsid w:val="00E049E1"/>
    <w:rsid w:val="00E20560"/>
    <w:rsid w:val="00E25ADC"/>
    <w:rsid w:val="00E47C5B"/>
    <w:rsid w:val="00E5525F"/>
    <w:rsid w:val="00E635BD"/>
    <w:rsid w:val="00E74306"/>
    <w:rsid w:val="00E84544"/>
    <w:rsid w:val="00EA258A"/>
    <w:rsid w:val="00EC5F97"/>
    <w:rsid w:val="00EC7F5E"/>
    <w:rsid w:val="00ED1C00"/>
    <w:rsid w:val="00EE42EF"/>
    <w:rsid w:val="00EF7E51"/>
    <w:rsid w:val="00F10B74"/>
    <w:rsid w:val="00F15F4F"/>
    <w:rsid w:val="00F41528"/>
    <w:rsid w:val="00F83DED"/>
    <w:rsid w:val="00F85285"/>
    <w:rsid w:val="00F87DA0"/>
    <w:rsid w:val="00F90AA5"/>
    <w:rsid w:val="00FB3C78"/>
    <w:rsid w:val="00FB4D8E"/>
    <w:rsid w:val="00FC743E"/>
    <w:rsid w:val="00FD28F2"/>
    <w:rsid w:val="00FD4F80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3E"/>
    <w:pPr>
      <w:ind w:left="720"/>
      <w:contextualSpacing/>
    </w:pPr>
  </w:style>
  <w:style w:type="table" w:styleId="TableGrid">
    <w:name w:val="Table Grid"/>
    <w:basedOn w:val="TableNormal"/>
    <w:uiPriority w:val="39"/>
    <w:rsid w:val="0020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E1"/>
  </w:style>
  <w:style w:type="paragraph" w:styleId="Footer">
    <w:name w:val="footer"/>
    <w:basedOn w:val="Normal"/>
    <w:link w:val="Foot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E1"/>
  </w:style>
  <w:style w:type="character" w:styleId="FollowedHyperlink">
    <w:name w:val="FollowedHyperlink"/>
    <w:basedOn w:val="DefaultParagraphFont"/>
    <w:uiPriority w:val="99"/>
    <w:semiHidden/>
    <w:unhideWhenUsed/>
    <w:rsid w:val="005F5B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3E"/>
    <w:pPr>
      <w:ind w:left="720"/>
      <w:contextualSpacing/>
    </w:pPr>
  </w:style>
  <w:style w:type="table" w:styleId="TableGrid">
    <w:name w:val="Table Grid"/>
    <w:basedOn w:val="TableNormal"/>
    <w:uiPriority w:val="39"/>
    <w:rsid w:val="0020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E1"/>
  </w:style>
  <w:style w:type="paragraph" w:styleId="Footer">
    <w:name w:val="footer"/>
    <w:basedOn w:val="Normal"/>
    <w:link w:val="Foot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E1"/>
  </w:style>
  <w:style w:type="character" w:styleId="FollowedHyperlink">
    <w:name w:val="FollowedHyperlink"/>
    <w:basedOn w:val="DefaultParagraphFont"/>
    <w:uiPriority w:val="99"/>
    <w:semiHidden/>
    <w:unhideWhenUsed/>
    <w:rsid w:val="005F5B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act.gov.au/a/2004-12/default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act.gov.au/di/2018-89/default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act.gov.au/di/2018-88/default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a/1999-4/default.asp" TargetMode="External"/><Relationship Id="rId10" Type="http://schemas.openxmlformats.org/officeDocument/2006/relationships/hyperlink" Target="http://www.legislation.act.gov.au/a/2004-11/defaul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act.gov.au/a/2004-11/default.asp" TargetMode="External"/><Relationship Id="rId14" Type="http://schemas.openxmlformats.org/officeDocument/2006/relationships/hyperlink" Target="http://www.legislation.act.gov.au/a/2007-24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6CCF-0D5E-4744-AF22-0D0FA3A2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1970</Words>
  <Characters>10377</Characters>
  <Application>Microsoft Office Word</Application>
  <DocSecurity>0</DocSecurity>
  <Lines>234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2018-04-19T08:47:00Z</cp:lastPrinted>
  <dcterms:created xsi:type="dcterms:W3CDTF">2018-05-16T11:45:00Z</dcterms:created>
  <dcterms:modified xsi:type="dcterms:W3CDTF">2018-05-16T11:46:00Z</dcterms:modified>
</cp:coreProperties>
</file>