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9B250"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38088FF9" wp14:editId="3B881D85">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DCAB"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88FF9"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4BB2DCAB"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E15DE4" wp14:editId="33DBE738">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ADCE"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6FE15DE4"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4F91ADCE"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16421EB2" wp14:editId="01A053DB">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69DA9175"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5E1B32" w:rsidRPr="005F709B" w14:paraId="25B0B715" w14:textId="77777777" w:rsidTr="005E1B32">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010B3303" w14:textId="77777777" w:rsidR="005E1B32" w:rsidRPr="00201A20" w:rsidRDefault="005E1B32" w:rsidP="00187517">
            <w:pPr>
              <w:ind w:left="34"/>
              <w:rPr>
                <w:rFonts w:asciiTheme="minorHAnsi" w:eastAsiaTheme="minorEastAsia" w:hAnsiTheme="minorHAnsi"/>
                <w:b/>
              </w:rPr>
            </w:pPr>
            <w:r w:rsidRPr="00201A20">
              <w:rPr>
                <w:rFonts w:asciiTheme="minorHAnsi" w:eastAsiaTheme="minorEastAsia" w:hAnsiTheme="minorHAnsi"/>
                <w:b/>
              </w:rPr>
              <w:t>REVENUE CIRCULAR DAA0</w:t>
            </w:r>
            <w:r>
              <w:rPr>
                <w:rFonts w:asciiTheme="minorHAnsi" w:eastAsiaTheme="minorEastAsia" w:hAnsiTheme="minorHAnsi"/>
                <w:b/>
              </w:rPr>
              <w:t>19</w:t>
            </w:r>
          </w:p>
        </w:tc>
      </w:tr>
      <w:tr w:rsidR="005E1B32" w:rsidRPr="005F709B" w14:paraId="66CE7456" w14:textId="77777777" w:rsidTr="005E1B32">
        <w:trPr>
          <w:cantSplit/>
        </w:trPr>
        <w:tc>
          <w:tcPr>
            <w:tcW w:w="9273" w:type="dxa"/>
            <w:tcBorders>
              <w:top w:val="single" w:sz="4" w:space="0" w:color="0D0D0D"/>
              <w:left w:val="single" w:sz="4" w:space="0" w:color="0D0D0D"/>
              <w:bottom w:val="single" w:sz="4" w:space="0" w:color="0D0D0D"/>
              <w:right w:val="single" w:sz="4" w:space="0" w:color="0D0D0D"/>
            </w:tcBorders>
          </w:tcPr>
          <w:p w14:paraId="076C74EE" w14:textId="77777777" w:rsidR="005E1B32" w:rsidRPr="00201A20" w:rsidRDefault="005E1B32" w:rsidP="00187517">
            <w:pPr>
              <w:ind w:left="34"/>
              <w:rPr>
                <w:rFonts w:asciiTheme="minorHAnsi" w:eastAsiaTheme="minorEastAsia" w:hAnsiTheme="minorHAnsi"/>
              </w:rPr>
            </w:pPr>
            <w:r>
              <w:rPr>
                <w:rFonts w:asciiTheme="minorHAnsi" w:eastAsiaTheme="minorEastAsia" w:hAnsiTheme="minorHAnsi"/>
              </w:rPr>
              <w:t>Barrier Free Model: Transactions before 18 September 2017</w:t>
            </w:r>
            <w:r w:rsidRPr="00201A20">
              <w:rPr>
                <w:rFonts w:asciiTheme="minorHAnsi" w:eastAsiaTheme="minorEastAsia" w:hAnsiTheme="minorHAnsi"/>
              </w:rPr>
              <w:t xml:space="preserve"> – </w:t>
            </w:r>
            <w:r w:rsidRPr="00201A20">
              <w:rPr>
                <w:rFonts w:asciiTheme="minorHAnsi" w:eastAsiaTheme="minorEastAsia" w:hAnsiTheme="minorHAnsi"/>
                <w:i/>
              </w:rPr>
              <w:t>Duties Act 1999</w:t>
            </w:r>
          </w:p>
        </w:tc>
      </w:tr>
      <w:tr w:rsidR="005E1B32" w:rsidRPr="00ED16F5" w14:paraId="770AAF31" w14:textId="77777777" w:rsidTr="005E1B32">
        <w:trPr>
          <w:cantSplit/>
        </w:trPr>
        <w:tc>
          <w:tcPr>
            <w:tcW w:w="9273" w:type="dxa"/>
            <w:tcBorders>
              <w:top w:val="single" w:sz="4" w:space="0" w:color="0D0D0D"/>
              <w:left w:val="single" w:sz="4" w:space="0" w:color="0D0D0D"/>
              <w:bottom w:val="single" w:sz="4" w:space="0" w:color="0D0D0D"/>
              <w:right w:val="single" w:sz="4" w:space="0" w:color="0D0D0D"/>
            </w:tcBorders>
          </w:tcPr>
          <w:p w14:paraId="1951ED56" w14:textId="77777777" w:rsidR="005E1B32" w:rsidRPr="00201A20" w:rsidRDefault="005E1B32" w:rsidP="00187517">
            <w:pPr>
              <w:ind w:left="34"/>
              <w:rPr>
                <w:rFonts w:asciiTheme="minorHAnsi" w:eastAsiaTheme="minorEastAsia" w:hAnsiTheme="minorHAnsi"/>
              </w:rPr>
            </w:pPr>
            <w:r w:rsidRPr="00201A20">
              <w:rPr>
                <w:rFonts w:asciiTheme="minorHAnsi" w:eastAsiaTheme="minorEastAsia" w:hAnsiTheme="minorHAnsi"/>
              </w:rPr>
              <w:t xml:space="preserve">Issue Date: </w:t>
            </w:r>
            <w:r>
              <w:rPr>
                <w:rFonts w:asciiTheme="minorHAnsi" w:eastAsiaTheme="minorEastAsia" w:hAnsiTheme="minorHAnsi"/>
              </w:rPr>
              <w:t>18</w:t>
            </w:r>
            <w:r w:rsidRPr="00201A20">
              <w:rPr>
                <w:rFonts w:asciiTheme="minorHAnsi" w:eastAsiaTheme="minorEastAsia" w:hAnsiTheme="minorHAnsi"/>
              </w:rPr>
              <w:t xml:space="preserve"> </w:t>
            </w:r>
            <w:r>
              <w:rPr>
                <w:rFonts w:asciiTheme="minorHAnsi" w:eastAsiaTheme="minorEastAsia" w:hAnsiTheme="minorHAnsi"/>
              </w:rPr>
              <w:t>September</w:t>
            </w:r>
            <w:r w:rsidRPr="00201A20">
              <w:rPr>
                <w:rFonts w:asciiTheme="minorHAnsi" w:eastAsiaTheme="minorEastAsia" w:hAnsiTheme="minorHAnsi"/>
              </w:rPr>
              <w:t xml:space="preserve"> 2017</w:t>
            </w:r>
          </w:p>
        </w:tc>
      </w:tr>
      <w:tr w:rsidR="005E1B32" w:rsidRPr="00ED16F5" w14:paraId="5F4E772E" w14:textId="77777777" w:rsidTr="005E1B32">
        <w:trPr>
          <w:cantSplit/>
        </w:trPr>
        <w:tc>
          <w:tcPr>
            <w:tcW w:w="9273" w:type="dxa"/>
            <w:tcBorders>
              <w:top w:val="single" w:sz="4" w:space="0" w:color="0D0D0D"/>
              <w:left w:val="single" w:sz="4" w:space="0" w:color="0D0D0D"/>
              <w:bottom w:val="single" w:sz="4" w:space="0" w:color="0D0D0D"/>
              <w:right w:val="single" w:sz="4" w:space="0" w:color="0D0D0D"/>
            </w:tcBorders>
          </w:tcPr>
          <w:p w14:paraId="6FEFD86B" w14:textId="77777777" w:rsidR="005E1B32" w:rsidRPr="00201A20" w:rsidRDefault="005E1B32" w:rsidP="00187517">
            <w:pPr>
              <w:ind w:left="34"/>
              <w:rPr>
                <w:rFonts w:asciiTheme="minorHAnsi" w:eastAsiaTheme="minorEastAsia" w:hAnsiTheme="minorHAnsi"/>
              </w:rPr>
            </w:pPr>
            <w:r w:rsidRPr="00201A20">
              <w:rPr>
                <w:rFonts w:asciiTheme="minorHAnsi" w:eastAsiaTheme="minorEastAsia" w:hAnsiTheme="minorHAnsi"/>
              </w:rPr>
              <w:t xml:space="preserve">Status: Current – Effective </w:t>
            </w:r>
            <w:r>
              <w:rPr>
                <w:rFonts w:asciiTheme="minorHAnsi" w:eastAsiaTheme="minorEastAsia" w:hAnsiTheme="minorHAnsi"/>
              </w:rPr>
              <w:t>18</w:t>
            </w:r>
            <w:r w:rsidRPr="00201A20">
              <w:rPr>
                <w:rFonts w:asciiTheme="minorHAnsi" w:eastAsiaTheme="minorEastAsia" w:hAnsiTheme="minorHAnsi"/>
              </w:rPr>
              <w:t xml:space="preserve"> </w:t>
            </w:r>
            <w:r>
              <w:rPr>
                <w:rFonts w:asciiTheme="minorHAnsi" w:eastAsiaTheme="minorEastAsia" w:hAnsiTheme="minorHAnsi"/>
              </w:rPr>
              <w:t>September</w:t>
            </w:r>
            <w:r w:rsidRPr="00201A20">
              <w:rPr>
                <w:rFonts w:asciiTheme="minorHAnsi" w:eastAsiaTheme="minorEastAsia" w:hAnsiTheme="minorHAnsi"/>
              </w:rPr>
              <w:t xml:space="preserve"> 2017</w:t>
            </w:r>
          </w:p>
        </w:tc>
      </w:tr>
      <w:tr w:rsidR="005E1B32" w:rsidRPr="00ED16F5" w14:paraId="6FA43218" w14:textId="77777777" w:rsidTr="005E1B32">
        <w:trPr>
          <w:cantSplit/>
        </w:trPr>
        <w:tc>
          <w:tcPr>
            <w:tcW w:w="9273" w:type="dxa"/>
            <w:tcBorders>
              <w:top w:val="single" w:sz="4" w:space="0" w:color="0D0D0D"/>
              <w:left w:val="single" w:sz="4" w:space="0" w:color="0D0D0D"/>
              <w:bottom w:val="single" w:sz="4" w:space="0" w:color="0D0D0D"/>
              <w:right w:val="single" w:sz="4" w:space="0" w:color="0D0D0D"/>
            </w:tcBorders>
          </w:tcPr>
          <w:p w14:paraId="603F18B8" w14:textId="77777777" w:rsidR="005E1B32" w:rsidRPr="00201A20" w:rsidRDefault="005E1B32" w:rsidP="00187517">
            <w:pPr>
              <w:ind w:left="34"/>
              <w:rPr>
                <w:rFonts w:asciiTheme="minorHAnsi" w:eastAsiaTheme="minorEastAsia" w:hAnsiTheme="minorHAnsi"/>
              </w:rPr>
            </w:pPr>
            <w:r w:rsidRPr="00201A20">
              <w:rPr>
                <w:rFonts w:asciiTheme="minorHAnsi" w:eastAsiaTheme="minorEastAsia" w:hAnsiTheme="minorHAnsi"/>
              </w:rPr>
              <w:t xml:space="preserve">Previous Circular: </w:t>
            </w:r>
            <w:r>
              <w:rPr>
                <w:rFonts w:asciiTheme="minorHAnsi" w:eastAsiaTheme="minorEastAsia" w:hAnsiTheme="minorHAnsi"/>
              </w:rPr>
              <w:t>N/A</w:t>
            </w:r>
          </w:p>
        </w:tc>
      </w:tr>
    </w:tbl>
    <w:p w14:paraId="6FBC8393" w14:textId="77777777" w:rsidR="00F23FF4" w:rsidRDefault="00F23FF4" w:rsidP="00F23FF4">
      <w:bookmarkStart w:id="0" w:name="_Toc489369639"/>
    </w:p>
    <w:p w14:paraId="0922A81A" w14:textId="77777777" w:rsidR="005E1B32" w:rsidRDefault="005E1B32" w:rsidP="005E1B32">
      <w:pPr>
        <w:pStyle w:val="Heading1"/>
      </w:pPr>
      <w:r>
        <w:t>Introduction</w:t>
      </w:r>
      <w:bookmarkEnd w:id="0"/>
    </w:p>
    <w:p w14:paraId="119797C8" w14:textId="77777777" w:rsidR="005E1B32" w:rsidRPr="00425902" w:rsidRDefault="005E1B32" w:rsidP="005E1B32">
      <w:pPr>
        <w:pStyle w:val="Heading2"/>
      </w:pPr>
      <w:bookmarkStart w:id="1" w:name="_Toc489369640"/>
      <w:r>
        <w:t>Conveyance duty</w:t>
      </w:r>
      <w:bookmarkEnd w:id="1"/>
    </w:p>
    <w:p w14:paraId="7FA69F2E" w14:textId="77777777" w:rsidR="005E1B32" w:rsidRPr="00204508" w:rsidRDefault="005E1B32" w:rsidP="005E1B32">
      <w:r>
        <w:t xml:space="preserve">Chapter 2 of the </w:t>
      </w:r>
      <w:r w:rsidRPr="0096542E">
        <w:rPr>
          <w:i/>
        </w:rPr>
        <w:t xml:space="preserve">Duties Act 1999 </w:t>
      </w:r>
      <w:r>
        <w:t>(Duties</w:t>
      </w:r>
      <w:r w:rsidRPr="0096542E">
        <w:t xml:space="preserve"> Act) </w:t>
      </w:r>
      <w:r>
        <w:t xml:space="preserve">imposes conveyance duty on specific dutiable transactions. These transactions include a transfer of dutiable property, an agreement for sale or transfer of dutiable property, a declaration of trust, and a grant of </w:t>
      </w:r>
      <w:r w:rsidRPr="00204508">
        <w:t xml:space="preserve">a Crown lease. Dutiable property includes Crown leases and other land in the ACT. </w:t>
      </w:r>
    </w:p>
    <w:p w14:paraId="3635AB83" w14:textId="77777777" w:rsidR="005E1B32" w:rsidRPr="00204508" w:rsidRDefault="005E1B32" w:rsidP="005E1B32"/>
    <w:p w14:paraId="4401878C" w14:textId="77777777" w:rsidR="005E1B32" w:rsidRPr="00204508" w:rsidRDefault="005E1B32" w:rsidP="005E1B32">
      <w:r w:rsidRPr="00204508">
        <w:t xml:space="preserve">Duty liability arises when a transaction is first executed (section 11) and the duty is payable by the transferee (section 12). Duty is charged on the dutiable value of the dutiable property subject to the transaction (section 18 and part 2.3). </w:t>
      </w:r>
    </w:p>
    <w:p w14:paraId="09B9E03A" w14:textId="77777777" w:rsidR="005E1B32" w:rsidRPr="00204508" w:rsidRDefault="005E1B32" w:rsidP="005E1B32">
      <w:pPr>
        <w:pStyle w:val="Heading2"/>
      </w:pPr>
      <w:bookmarkStart w:id="2" w:name="_Toc489369641"/>
      <w:r w:rsidRPr="00204508">
        <w:lastRenderedPageBreak/>
        <w:t>Barrier Free model</w:t>
      </w:r>
      <w:bookmarkEnd w:id="2"/>
    </w:p>
    <w:p w14:paraId="3ADBC6CB" w14:textId="77777777" w:rsidR="005E1B32" w:rsidRPr="00204508" w:rsidRDefault="005E1B32" w:rsidP="005E1B32">
      <w:r w:rsidRPr="00204508">
        <w:t xml:space="preserve">The </w:t>
      </w:r>
      <w:r w:rsidRPr="00204508">
        <w:rPr>
          <w:i/>
        </w:rPr>
        <w:t>Revenue Legislation Amendment Act 2017</w:t>
      </w:r>
      <w:r w:rsidRPr="00204508">
        <w:t xml:space="preserve">, effective </w:t>
      </w:r>
      <w:r w:rsidRPr="007F0BD4">
        <w:t>18</w:t>
      </w:r>
      <w:r w:rsidRPr="00204508">
        <w:t xml:space="preserve"> September 2017, introduces the Barrier Free model for the payment of conveyance duty. Under the Barrier Free model property buyers will no longer pay their conveyance duty before the settlement of a property.</w:t>
      </w:r>
    </w:p>
    <w:p w14:paraId="1C663CA7" w14:textId="77777777" w:rsidR="005E1B32" w:rsidRPr="00204508" w:rsidRDefault="005E1B32" w:rsidP="005E1B32"/>
    <w:p w14:paraId="1931A385" w14:textId="77777777" w:rsidR="005E1B32" w:rsidRPr="00204508" w:rsidRDefault="005E1B32" w:rsidP="005E1B32">
      <w:r w:rsidRPr="00204508">
        <w:t>The new model will allow property buyers and solicitors to pay duty after lodging the property transfer for registration with the Registrar-General of Land Titles (Access Canberra). The registration will ‘trigger’ the payment and a Notice of Assessment will be delivered to the email address nominated on registration at Access Canberra. Payments must be made online via BPAY or EFT.</w:t>
      </w:r>
    </w:p>
    <w:p w14:paraId="205AD86B" w14:textId="77777777" w:rsidR="005E1B32" w:rsidRPr="00204508" w:rsidRDefault="005E1B32" w:rsidP="005E1B32"/>
    <w:p w14:paraId="582D5610" w14:textId="77777777" w:rsidR="005E1B32" w:rsidRPr="00204508" w:rsidRDefault="005E1B32" w:rsidP="005E1B32">
      <w:r w:rsidRPr="00204508">
        <w:t>The purpose of this circular is to explain the ACT Revenue Office’s process for handling transactions initiated before the commencement of the Barrier Free model under the</w:t>
      </w:r>
      <w:r w:rsidRPr="00204508">
        <w:rPr>
          <w:i/>
        </w:rPr>
        <w:t xml:space="preserve"> </w:t>
      </w:r>
      <w:r w:rsidRPr="00204508">
        <w:t>transitional provisions in chapter 19 of the Duties Act.</w:t>
      </w:r>
    </w:p>
    <w:p w14:paraId="5E4B91CE" w14:textId="77777777" w:rsidR="005E1B32" w:rsidRPr="00204508" w:rsidRDefault="005E1B32" w:rsidP="005E1B32"/>
    <w:p w14:paraId="14257E8E" w14:textId="77777777" w:rsidR="005E1B32" w:rsidRDefault="005E1B32" w:rsidP="005E1B32">
      <w:pPr>
        <w:sectPr w:rsidR="005E1B32"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r w:rsidRPr="00204508">
        <w:t xml:space="preserve">General information about the Barrier Free model and the typical timeline for transactions is set out in the related Revenue Circular </w:t>
      </w:r>
      <w:r w:rsidRPr="00204508">
        <w:rPr>
          <w:i/>
        </w:rPr>
        <w:t>Barrier Free Model</w:t>
      </w:r>
      <w:r w:rsidRPr="00204508">
        <w:t xml:space="preserve"> (DAA018), available on </w:t>
      </w:r>
      <w:hyperlink r:id="rId15" w:history="1">
        <w:r w:rsidRPr="00204508">
          <w:rPr>
            <w:rStyle w:val="Hyperlink"/>
          </w:rPr>
          <w:t>www.revenue.act.gov.au</w:t>
        </w:r>
      </w:hyperlink>
      <w:r w:rsidRPr="00204508">
        <w:t>.</w:t>
      </w:r>
    </w:p>
    <w:p w14:paraId="7D74C494" w14:textId="77777777" w:rsidR="005E1B32" w:rsidRPr="00204508" w:rsidRDefault="005E1B32" w:rsidP="005E1B32"/>
    <w:p w14:paraId="54A18F98" w14:textId="77777777" w:rsidR="009F51EE" w:rsidRDefault="009F51EE" w:rsidP="005E1B32">
      <w:pPr>
        <w:pStyle w:val="Heading1"/>
        <w:rPr>
          <w:rFonts w:eastAsia="Calibri"/>
        </w:rPr>
      </w:pPr>
    </w:p>
    <w:p w14:paraId="03A66E69" w14:textId="77777777" w:rsidR="005E1B32" w:rsidRPr="00204508" w:rsidRDefault="005E1B32" w:rsidP="005E1B32">
      <w:pPr>
        <w:pStyle w:val="Heading1"/>
        <w:rPr>
          <w:rFonts w:eastAsia="Calibri"/>
        </w:rPr>
      </w:pPr>
      <w:r w:rsidRPr="00204508">
        <w:rPr>
          <w:rFonts w:eastAsia="Calibri"/>
        </w:rPr>
        <w:t>Transactions before 18 September 2017</w:t>
      </w:r>
    </w:p>
    <w:p w14:paraId="22E66360" w14:textId="77777777" w:rsidR="005E1B32" w:rsidRPr="00204508" w:rsidRDefault="005E1B32" w:rsidP="005E1B32">
      <w:r w:rsidRPr="00204508">
        <w:t>This circular applies to any dutiable transaction where:</w:t>
      </w:r>
    </w:p>
    <w:p w14:paraId="7B7F1A4F" w14:textId="77777777" w:rsidR="005E1B32" w:rsidRPr="00204508" w:rsidRDefault="005E1B32" w:rsidP="005E1B32">
      <w:pPr>
        <w:pStyle w:val="ListParagraph"/>
        <w:widowControl/>
        <w:numPr>
          <w:ilvl w:val="0"/>
          <w:numId w:val="34"/>
        </w:numPr>
        <w:suppressAutoHyphens w:val="0"/>
        <w:autoSpaceDE/>
        <w:autoSpaceDN/>
        <w:ind w:left="1857"/>
        <w:contextualSpacing/>
        <w:jc w:val="left"/>
        <w:textAlignment w:val="auto"/>
      </w:pPr>
      <w:r w:rsidRPr="00204508">
        <w:t xml:space="preserve">the liability for duty arose before </w:t>
      </w:r>
      <w:r w:rsidRPr="007F0BD4">
        <w:rPr>
          <w:rFonts w:asciiTheme="minorHAnsi" w:eastAsiaTheme="minorEastAsia" w:hAnsiTheme="minorHAnsi"/>
        </w:rPr>
        <w:t>18</w:t>
      </w:r>
      <w:r w:rsidRPr="00204508">
        <w:rPr>
          <w:rFonts w:asciiTheme="minorHAnsi" w:eastAsiaTheme="minorEastAsia" w:hAnsiTheme="minorHAnsi"/>
        </w:rPr>
        <w:t> September 2017; and</w:t>
      </w:r>
    </w:p>
    <w:p w14:paraId="562150FE" w14:textId="77777777" w:rsidR="005E1B32" w:rsidRPr="00204508" w:rsidRDefault="005E1B32" w:rsidP="005E1B32">
      <w:pPr>
        <w:pStyle w:val="ListParagraph"/>
        <w:widowControl/>
        <w:numPr>
          <w:ilvl w:val="0"/>
          <w:numId w:val="34"/>
        </w:numPr>
        <w:suppressAutoHyphens w:val="0"/>
        <w:autoSpaceDE/>
        <w:autoSpaceDN/>
        <w:ind w:left="1857"/>
        <w:contextualSpacing/>
        <w:jc w:val="left"/>
        <w:textAlignment w:val="auto"/>
      </w:pPr>
      <w:proofErr w:type="gramStart"/>
      <w:r w:rsidRPr="00204508">
        <w:rPr>
          <w:rFonts w:asciiTheme="minorHAnsi" w:eastAsiaTheme="minorEastAsia" w:hAnsiTheme="minorHAnsi"/>
        </w:rPr>
        <w:t>the</w:t>
      </w:r>
      <w:proofErr w:type="gramEnd"/>
      <w:r w:rsidRPr="00204508">
        <w:rPr>
          <w:rFonts w:asciiTheme="minorHAnsi" w:eastAsiaTheme="minorEastAsia" w:hAnsiTheme="minorHAnsi"/>
        </w:rPr>
        <w:t xml:space="preserve"> duty had not been assessed and paid in full before </w:t>
      </w:r>
      <w:r w:rsidRPr="007F0BD4">
        <w:rPr>
          <w:rFonts w:asciiTheme="minorHAnsi" w:eastAsiaTheme="minorEastAsia" w:hAnsiTheme="minorHAnsi"/>
        </w:rPr>
        <w:t>18</w:t>
      </w:r>
      <w:r w:rsidRPr="00204508">
        <w:rPr>
          <w:rFonts w:asciiTheme="minorHAnsi" w:eastAsiaTheme="minorEastAsia" w:hAnsiTheme="minorHAnsi"/>
        </w:rPr>
        <w:t xml:space="preserve"> September 2017.</w:t>
      </w:r>
    </w:p>
    <w:p w14:paraId="572D09B2" w14:textId="77777777" w:rsidR="005E1B32" w:rsidRPr="00204508" w:rsidRDefault="005E1B32" w:rsidP="005E1B32">
      <w:pPr>
        <w:rPr>
          <w:rFonts w:eastAsia="Calibri"/>
        </w:rPr>
      </w:pPr>
    </w:p>
    <w:p w14:paraId="75D9E14E" w14:textId="77777777" w:rsidR="005E1B32" w:rsidRPr="00204508" w:rsidRDefault="005E1B32" w:rsidP="005E1B32">
      <w:pPr>
        <w:rPr>
          <w:rFonts w:eastAsia="Calibri"/>
        </w:rPr>
      </w:pPr>
      <w:r w:rsidRPr="00204508">
        <w:rPr>
          <w:rFonts w:eastAsia="Calibri"/>
        </w:rPr>
        <w:t xml:space="preserve">In other words, the conveyance process was commenced (‘in flight’) prior to the implementation of the Barrier Free model but was not finalised as at </w:t>
      </w:r>
      <w:r w:rsidRPr="007F0BD4">
        <w:rPr>
          <w:rFonts w:asciiTheme="minorHAnsi" w:eastAsiaTheme="minorEastAsia" w:hAnsiTheme="minorHAnsi"/>
        </w:rPr>
        <w:t>18</w:t>
      </w:r>
      <w:r w:rsidRPr="00204508">
        <w:rPr>
          <w:rFonts w:asciiTheme="minorHAnsi" w:eastAsiaTheme="minorEastAsia" w:hAnsiTheme="minorHAnsi"/>
        </w:rPr>
        <w:t xml:space="preserve"> September 2017.</w:t>
      </w:r>
    </w:p>
    <w:p w14:paraId="42A55FE7" w14:textId="77777777" w:rsidR="005E1B32" w:rsidRPr="00204508" w:rsidRDefault="005E1B32" w:rsidP="005E1B32">
      <w:pPr>
        <w:pStyle w:val="Heading1"/>
        <w:rPr>
          <w:rFonts w:eastAsia="Calibri"/>
        </w:rPr>
      </w:pPr>
      <w:bookmarkStart w:id="3" w:name="_Toc489369643"/>
      <w:r w:rsidRPr="00204508">
        <w:rPr>
          <w:rFonts w:eastAsia="Calibri"/>
        </w:rPr>
        <w:t>Transitional provisions</w:t>
      </w:r>
      <w:bookmarkEnd w:id="3"/>
    </w:p>
    <w:p w14:paraId="5D5CF06A" w14:textId="77777777" w:rsidR="005E1B32" w:rsidRDefault="005E1B32" w:rsidP="005E1B32">
      <w:pPr>
        <w:rPr>
          <w:rFonts w:eastAsia="Calibri"/>
        </w:rPr>
      </w:pPr>
      <w:r w:rsidRPr="00204508">
        <w:rPr>
          <w:rFonts w:eastAsia="Calibri"/>
        </w:rPr>
        <w:t>The main principle is that if the contract was executed before the commencement of the Barrier Free model on 18 September 2017, the old conveyancing rules apply. Duty must be paid either:</w:t>
      </w:r>
    </w:p>
    <w:p w14:paraId="518007FF" w14:textId="77777777" w:rsidR="005E1B32" w:rsidRPr="007F0BD4" w:rsidRDefault="005E1B32" w:rsidP="005E1B32">
      <w:pPr>
        <w:pStyle w:val="ListParagraph"/>
        <w:widowControl/>
        <w:numPr>
          <w:ilvl w:val="0"/>
          <w:numId w:val="35"/>
        </w:numPr>
        <w:suppressAutoHyphens w:val="0"/>
        <w:autoSpaceDE/>
        <w:autoSpaceDN/>
        <w:ind w:left="1857"/>
        <w:contextualSpacing/>
        <w:jc w:val="left"/>
        <w:textAlignment w:val="auto"/>
      </w:pPr>
      <w:r w:rsidRPr="007F0BD4">
        <w:t xml:space="preserve">within </w:t>
      </w:r>
      <w:r>
        <w:t>90 days of the transaction date;</w:t>
      </w:r>
      <w:r w:rsidRPr="007F0BD4">
        <w:t xml:space="preserve"> or</w:t>
      </w:r>
    </w:p>
    <w:p w14:paraId="37BF9449" w14:textId="77777777" w:rsidR="005E1B32" w:rsidRPr="007F0BD4" w:rsidRDefault="005E1B32" w:rsidP="005E1B32">
      <w:pPr>
        <w:pStyle w:val="ListParagraph"/>
        <w:widowControl/>
        <w:numPr>
          <w:ilvl w:val="0"/>
          <w:numId w:val="35"/>
        </w:numPr>
        <w:suppressAutoHyphens w:val="0"/>
        <w:autoSpaceDE/>
        <w:autoSpaceDN/>
        <w:ind w:left="1857"/>
        <w:contextualSpacing/>
        <w:jc w:val="left"/>
        <w:textAlignment w:val="auto"/>
      </w:pPr>
      <w:r w:rsidRPr="007F0BD4">
        <w:t>for an off-the-plan agreement, within 14 days of whichever comes first:</w:t>
      </w:r>
    </w:p>
    <w:p w14:paraId="4BA87568" w14:textId="77777777" w:rsidR="005E1B32" w:rsidRPr="007F0BD4" w:rsidRDefault="005E1B32" w:rsidP="005E1B32">
      <w:pPr>
        <w:pStyle w:val="ListParagraph"/>
        <w:widowControl/>
        <w:numPr>
          <w:ilvl w:val="1"/>
          <w:numId w:val="35"/>
        </w:numPr>
        <w:suppressAutoHyphens w:val="0"/>
        <w:autoSpaceDE/>
        <w:autoSpaceDN/>
        <w:ind w:left="2577"/>
        <w:contextualSpacing/>
        <w:jc w:val="left"/>
        <w:textAlignment w:val="auto"/>
      </w:pPr>
      <w:r w:rsidRPr="007F0BD4">
        <w:t>the agreement is completed;</w:t>
      </w:r>
    </w:p>
    <w:p w14:paraId="18ACFC29" w14:textId="77777777" w:rsidR="005E1B32" w:rsidRPr="007F0BD4" w:rsidRDefault="005E1B32" w:rsidP="005E1B32">
      <w:pPr>
        <w:pStyle w:val="ListParagraph"/>
        <w:widowControl/>
        <w:numPr>
          <w:ilvl w:val="1"/>
          <w:numId w:val="35"/>
        </w:numPr>
        <w:suppressAutoHyphens w:val="0"/>
        <w:autoSpaceDE/>
        <w:autoSpaceDN/>
        <w:ind w:left="2577"/>
        <w:contextualSpacing/>
        <w:jc w:val="left"/>
        <w:textAlignment w:val="auto"/>
      </w:pPr>
      <w:r w:rsidRPr="007F0BD4">
        <w:t xml:space="preserve">the </w:t>
      </w:r>
      <w:r w:rsidRPr="006725AC">
        <w:t>purchaser’s</w:t>
      </w:r>
      <w:r w:rsidRPr="007F0BD4">
        <w:t xml:space="preserve"> interest is transferred;</w:t>
      </w:r>
    </w:p>
    <w:p w14:paraId="3F528185" w14:textId="77777777" w:rsidR="005E1B32" w:rsidRPr="007F0BD4" w:rsidRDefault="005E1B32" w:rsidP="005E1B32">
      <w:pPr>
        <w:pStyle w:val="ListParagraph"/>
        <w:widowControl/>
        <w:numPr>
          <w:ilvl w:val="1"/>
          <w:numId w:val="35"/>
        </w:numPr>
        <w:suppressAutoHyphens w:val="0"/>
        <w:autoSpaceDE/>
        <w:autoSpaceDN/>
        <w:ind w:left="2577"/>
        <w:contextualSpacing/>
        <w:jc w:val="left"/>
        <w:textAlignment w:val="auto"/>
      </w:pPr>
      <w:r w:rsidRPr="007F0BD4">
        <w:t xml:space="preserve">one year </w:t>
      </w:r>
      <w:r w:rsidRPr="006725AC">
        <w:t xml:space="preserve">has passed </w:t>
      </w:r>
      <w:r w:rsidRPr="007F0BD4">
        <w:t>since the date of the agreement</w:t>
      </w:r>
      <w:r w:rsidRPr="006725AC">
        <w:t>;</w:t>
      </w:r>
      <w:r w:rsidRPr="007F0BD4">
        <w:t xml:space="preserve"> or</w:t>
      </w:r>
    </w:p>
    <w:p w14:paraId="5B3F8FE0" w14:textId="77777777" w:rsidR="005E1B32" w:rsidRPr="007F0BD4" w:rsidRDefault="005E1B32" w:rsidP="005E1B32">
      <w:pPr>
        <w:pStyle w:val="ListParagraph"/>
        <w:widowControl/>
        <w:numPr>
          <w:ilvl w:val="1"/>
          <w:numId w:val="35"/>
        </w:numPr>
        <w:suppressAutoHyphens w:val="0"/>
        <w:autoSpaceDE/>
        <w:autoSpaceDN/>
        <w:ind w:left="2577"/>
        <w:contextualSpacing/>
        <w:jc w:val="left"/>
        <w:textAlignment w:val="auto"/>
      </w:pPr>
      <w:proofErr w:type="gramStart"/>
      <w:r w:rsidRPr="007F0BD4">
        <w:t>a</w:t>
      </w:r>
      <w:proofErr w:type="gramEnd"/>
      <w:r w:rsidRPr="007F0BD4">
        <w:t xml:space="preserve"> Certificate of Occupancy and Use has been issued.</w:t>
      </w:r>
    </w:p>
    <w:p w14:paraId="307F65EF" w14:textId="77777777" w:rsidR="005E1B32" w:rsidRDefault="005E1B32" w:rsidP="005E1B32">
      <w:pPr>
        <w:rPr>
          <w:rFonts w:eastAsia="Calibri"/>
        </w:rPr>
      </w:pPr>
    </w:p>
    <w:p w14:paraId="22764855" w14:textId="77777777" w:rsidR="005E1B32" w:rsidRDefault="005E1B32" w:rsidP="005E1B32">
      <w:pPr>
        <w:rPr>
          <w:rFonts w:eastAsia="Calibri"/>
        </w:rPr>
      </w:pPr>
      <w:r>
        <w:rPr>
          <w:rFonts w:eastAsia="Calibri"/>
        </w:rPr>
        <w:t>S</w:t>
      </w:r>
      <w:r w:rsidRPr="00541EA7">
        <w:rPr>
          <w:rFonts w:eastAsia="Calibri"/>
        </w:rPr>
        <w:t xml:space="preserve">tamping of the </w:t>
      </w:r>
      <w:r>
        <w:rPr>
          <w:rFonts w:eastAsia="Calibri"/>
        </w:rPr>
        <w:t>dutiable instrument is required</w:t>
      </w:r>
      <w:r w:rsidRPr="00541EA7">
        <w:rPr>
          <w:rFonts w:eastAsia="Calibri"/>
        </w:rPr>
        <w:t>.</w:t>
      </w:r>
    </w:p>
    <w:p w14:paraId="2EC1BBCC" w14:textId="77777777" w:rsidR="005E1B32" w:rsidRPr="00541EA7" w:rsidRDefault="005E1B32" w:rsidP="005E1B32">
      <w:pPr>
        <w:rPr>
          <w:rFonts w:eastAsia="Calibri"/>
        </w:rPr>
      </w:pPr>
    </w:p>
    <w:p w14:paraId="594E4F8F" w14:textId="77777777" w:rsidR="005E1B32" w:rsidRDefault="005E1B32" w:rsidP="005E1B32">
      <w:pPr>
        <w:rPr>
          <w:rFonts w:eastAsia="Calibri"/>
        </w:rPr>
      </w:pPr>
      <w:r>
        <w:rPr>
          <w:rFonts w:eastAsia="Calibri"/>
        </w:rPr>
        <w:t>The t</w:t>
      </w:r>
      <w:r w:rsidRPr="00541EA7">
        <w:rPr>
          <w:rFonts w:eastAsia="Calibri"/>
        </w:rPr>
        <w:t xml:space="preserve">ransitional provisions </w:t>
      </w:r>
      <w:r>
        <w:rPr>
          <w:rFonts w:eastAsia="Calibri"/>
        </w:rPr>
        <w:t xml:space="preserve">under chapter 19 of the Duties Act ensure that </w:t>
      </w:r>
      <w:r w:rsidRPr="00541EA7">
        <w:rPr>
          <w:rFonts w:eastAsia="Calibri"/>
        </w:rPr>
        <w:t>there is a distinction between ‘old’</w:t>
      </w:r>
      <w:r>
        <w:rPr>
          <w:rFonts w:eastAsia="Calibri"/>
        </w:rPr>
        <w:t xml:space="preserve"> or pre-Barrier </w:t>
      </w:r>
      <w:proofErr w:type="gramStart"/>
      <w:r>
        <w:rPr>
          <w:rFonts w:eastAsia="Calibri"/>
        </w:rPr>
        <w:t>Free</w:t>
      </w:r>
      <w:proofErr w:type="gramEnd"/>
      <w:r>
        <w:rPr>
          <w:rFonts w:eastAsia="Calibri"/>
        </w:rPr>
        <w:t xml:space="preserve"> transactions </w:t>
      </w:r>
      <w:r w:rsidRPr="00541EA7">
        <w:rPr>
          <w:rFonts w:eastAsia="Calibri"/>
        </w:rPr>
        <w:t>and ‘new’</w:t>
      </w:r>
      <w:r>
        <w:rPr>
          <w:rFonts w:eastAsia="Calibri"/>
        </w:rPr>
        <w:t xml:space="preserve"> Barrier Free transactions</w:t>
      </w:r>
      <w:r w:rsidRPr="00541EA7">
        <w:rPr>
          <w:rFonts w:eastAsia="Calibri"/>
        </w:rPr>
        <w:t>.</w:t>
      </w:r>
    </w:p>
    <w:p w14:paraId="2C4F019C" w14:textId="77777777" w:rsidR="005E1B32" w:rsidRDefault="005E1B32" w:rsidP="005E1B32">
      <w:pPr>
        <w:rPr>
          <w:rFonts w:eastAsia="Calibri"/>
        </w:rPr>
      </w:pPr>
    </w:p>
    <w:p w14:paraId="6DFD7D49" w14:textId="77777777" w:rsidR="005E1B32" w:rsidRDefault="005E1B32" w:rsidP="005E1B32">
      <w:pPr>
        <w:rPr>
          <w:rFonts w:eastAsia="Calibri"/>
        </w:rPr>
      </w:pPr>
      <w:r>
        <w:rPr>
          <w:rFonts w:eastAsia="Calibri"/>
        </w:rPr>
        <w:t>The above deadline also applies to the submission of application forms for duty concession schemes (such as the Home Buyer Concession Scheme). Applications received after 90 days or 14 days of the relevant date for the transaction are still regarded as late applications for concession.</w:t>
      </w:r>
    </w:p>
    <w:p w14:paraId="30BC3B87" w14:textId="77777777" w:rsidR="005E1B32" w:rsidRDefault="005E1B32" w:rsidP="005E1B32">
      <w:pPr>
        <w:rPr>
          <w:rFonts w:eastAsia="Calibri"/>
        </w:rPr>
      </w:pPr>
    </w:p>
    <w:p w14:paraId="404473FF" w14:textId="77777777" w:rsidR="005E1B32" w:rsidRDefault="005E1B32" w:rsidP="005E1B32">
      <w:pPr>
        <w:rPr>
          <w:rFonts w:eastAsia="Calibri"/>
        </w:rPr>
      </w:pPr>
      <w:r>
        <w:rPr>
          <w:rFonts w:eastAsia="Calibri"/>
        </w:rPr>
        <w:t xml:space="preserve">The Commissioner will apply the relevant disallowable instrument in force as at the transaction date when deciding whether to accept late applications. </w:t>
      </w:r>
    </w:p>
    <w:p w14:paraId="1D22E231" w14:textId="77777777" w:rsidR="005E1B32" w:rsidRDefault="005E1B32" w:rsidP="005E1B32">
      <w:pPr>
        <w:rPr>
          <w:rFonts w:eastAsia="Calibri"/>
        </w:rPr>
      </w:pPr>
    </w:p>
    <w:p w14:paraId="5E4C427F" w14:textId="77777777" w:rsidR="005E1B32" w:rsidRPr="00E70756" w:rsidRDefault="005E1B32" w:rsidP="005E1B32">
      <w:pPr>
        <w:pStyle w:val="Heading1"/>
        <w:rPr>
          <w:rFonts w:eastAsia="Calibri"/>
        </w:rPr>
      </w:pPr>
      <w:bookmarkStart w:id="4" w:name="_Toc489369644"/>
      <w:r w:rsidRPr="00E70756">
        <w:rPr>
          <w:rFonts w:eastAsia="Calibri"/>
        </w:rPr>
        <w:t>Processing of transactions</w:t>
      </w:r>
      <w:bookmarkEnd w:id="4"/>
      <w:r>
        <w:rPr>
          <w:rFonts w:eastAsia="Calibri"/>
        </w:rPr>
        <w:t xml:space="preserve"> dated before 18 September 2017</w:t>
      </w:r>
    </w:p>
    <w:p w14:paraId="2E9FF407" w14:textId="77777777" w:rsidR="005E1B32" w:rsidRDefault="005E1B32" w:rsidP="005E1B32">
      <w:pPr>
        <w:pStyle w:val="Heading2"/>
        <w:rPr>
          <w:rFonts w:eastAsia="Calibri"/>
        </w:rPr>
      </w:pPr>
      <w:bookmarkStart w:id="5" w:name="_Toc489369645"/>
      <w:r>
        <w:rPr>
          <w:rFonts w:eastAsia="Calibri"/>
        </w:rPr>
        <w:t>If documents have not been lodged with the ACT Revenue Office</w:t>
      </w:r>
      <w:bookmarkEnd w:id="5"/>
    </w:p>
    <w:p w14:paraId="49618DFA" w14:textId="77777777" w:rsidR="005E1B32" w:rsidRPr="001B47A3" w:rsidRDefault="005E1B32" w:rsidP="005E1B32">
      <w:pPr>
        <w:rPr>
          <w:rFonts w:eastAsia="Calibri"/>
        </w:rPr>
      </w:pPr>
      <w:r w:rsidRPr="00E70756">
        <w:rPr>
          <w:rFonts w:eastAsia="Calibri"/>
        </w:rPr>
        <w:t xml:space="preserve">Following implementation of the Barrier Free model, Access Canberra will no longer accept </w:t>
      </w:r>
      <w:r>
        <w:rPr>
          <w:rFonts w:eastAsia="Calibri"/>
        </w:rPr>
        <w:t>over-</w:t>
      </w:r>
      <w:r w:rsidRPr="001B47A3">
        <w:rPr>
          <w:rFonts w:eastAsia="Calibri"/>
        </w:rPr>
        <w:t xml:space="preserve">the-counter lodgements or payments if the transaction is dated before </w:t>
      </w:r>
      <w:r w:rsidRPr="007F0BD4">
        <w:rPr>
          <w:rFonts w:asciiTheme="minorHAnsi" w:eastAsiaTheme="minorEastAsia" w:hAnsiTheme="minorHAnsi"/>
        </w:rPr>
        <w:t>18</w:t>
      </w:r>
      <w:r w:rsidRPr="001B47A3">
        <w:rPr>
          <w:rFonts w:asciiTheme="minorHAnsi" w:eastAsiaTheme="minorEastAsia" w:hAnsiTheme="minorHAnsi"/>
        </w:rPr>
        <w:t> September 2017</w:t>
      </w:r>
      <w:r w:rsidRPr="001B47A3">
        <w:rPr>
          <w:rFonts w:eastAsia="Calibri"/>
        </w:rPr>
        <w:t>.</w:t>
      </w:r>
    </w:p>
    <w:p w14:paraId="3E909D11" w14:textId="77777777" w:rsidR="005E1B32" w:rsidRPr="001B47A3" w:rsidRDefault="005E1B32" w:rsidP="005E1B32">
      <w:pPr>
        <w:rPr>
          <w:rFonts w:eastAsia="Calibri"/>
        </w:rPr>
      </w:pPr>
    </w:p>
    <w:p w14:paraId="4CE66892" w14:textId="77777777" w:rsidR="005E1B32" w:rsidRPr="001B47A3" w:rsidRDefault="005E1B32" w:rsidP="005E1B32">
      <w:pPr>
        <w:rPr>
          <w:rFonts w:eastAsia="Calibri"/>
        </w:rPr>
      </w:pPr>
      <w:r w:rsidRPr="001B47A3">
        <w:rPr>
          <w:rFonts w:eastAsia="Calibri"/>
        </w:rPr>
        <w:t>The transaction date is the date of grant, date of transfer, or date of agreement for sale or transfer, whichever occurs first (not the settlement date).</w:t>
      </w:r>
    </w:p>
    <w:p w14:paraId="3E46893F" w14:textId="77777777" w:rsidR="005E1B32" w:rsidRPr="001B47A3" w:rsidRDefault="005E1B32" w:rsidP="005E1B32">
      <w:pPr>
        <w:rPr>
          <w:rFonts w:eastAsia="Calibri"/>
        </w:rPr>
      </w:pPr>
    </w:p>
    <w:p w14:paraId="330C186B" w14:textId="77777777" w:rsidR="005E1B32" w:rsidRPr="001B47A3" w:rsidRDefault="005E1B32" w:rsidP="005E1B32">
      <w:pPr>
        <w:rPr>
          <w:rFonts w:eastAsia="Calibri"/>
        </w:rPr>
      </w:pPr>
      <w:r w:rsidRPr="001B47A3">
        <w:rPr>
          <w:rFonts w:eastAsia="Calibri"/>
        </w:rPr>
        <w:t xml:space="preserve">If you need to lodge conveyance documents for the transaction after </w:t>
      </w:r>
      <w:r w:rsidRPr="007F0BD4">
        <w:rPr>
          <w:rFonts w:asciiTheme="minorHAnsi" w:eastAsiaTheme="minorEastAsia" w:hAnsiTheme="minorHAnsi"/>
        </w:rPr>
        <w:t>18</w:t>
      </w:r>
      <w:r w:rsidRPr="001B47A3">
        <w:rPr>
          <w:rFonts w:asciiTheme="minorHAnsi" w:eastAsiaTheme="minorEastAsia" w:hAnsiTheme="minorHAnsi"/>
        </w:rPr>
        <w:t xml:space="preserve"> September 2017, </w:t>
      </w:r>
      <w:r w:rsidRPr="001B47A3">
        <w:rPr>
          <w:rFonts w:eastAsia="Calibri"/>
        </w:rPr>
        <w:t xml:space="preserve">you will need to use </w:t>
      </w:r>
      <w:r>
        <w:rPr>
          <w:rFonts w:eastAsia="Calibri"/>
        </w:rPr>
        <w:t>an</w:t>
      </w:r>
      <w:r w:rsidRPr="001B47A3">
        <w:rPr>
          <w:rFonts w:eastAsia="Calibri"/>
        </w:rPr>
        <w:t xml:space="preserve"> online SmartForm to submit the transaction for duty assessment. You must attach supporting documentation and any associated applications for concessions or exemptions to the submission. The</w:t>
      </w:r>
      <w:r>
        <w:rPr>
          <w:rFonts w:eastAsia="Calibri"/>
        </w:rPr>
        <w:t xml:space="preserve"> relevant</w:t>
      </w:r>
      <w:r w:rsidRPr="001B47A3">
        <w:rPr>
          <w:rFonts w:eastAsia="Calibri"/>
        </w:rPr>
        <w:t xml:space="preserve"> SmartForm is available on the ACT Revenue Office website at </w:t>
      </w:r>
      <w:hyperlink r:id="rId16" w:history="1">
        <w:r w:rsidRPr="001B47A3">
          <w:rPr>
            <w:rStyle w:val="Hyperlink"/>
            <w:rFonts w:eastAsia="Calibri"/>
          </w:rPr>
          <w:t>www.revenue.act.gov.au</w:t>
        </w:r>
      </w:hyperlink>
      <w:r w:rsidRPr="001B47A3">
        <w:rPr>
          <w:rFonts w:eastAsia="Calibri"/>
        </w:rPr>
        <w:t>.</w:t>
      </w:r>
    </w:p>
    <w:p w14:paraId="7211953D" w14:textId="77777777" w:rsidR="005E1B32" w:rsidRPr="001B47A3" w:rsidRDefault="005E1B32" w:rsidP="005E1B32">
      <w:pPr>
        <w:rPr>
          <w:rFonts w:eastAsia="Calibri"/>
        </w:rPr>
      </w:pPr>
    </w:p>
    <w:p w14:paraId="2797333B" w14:textId="77777777" w:rsidR="005E1B32" w:rsidRPr="001B47A3" w:rsidRDefault="005E1B32" w:rsidP="005E1B32">
      <w:pPr>
        <w:rPr>
          <w:rFonts w:eastAsia="Calibri"/>
        </w:rPr>
      </w:pPr>
      <w:r w:rsidRPr="001B47A3">
        <w:rPr>
          <w:rFonts w:eastAsia="Calibri"/>
        </w:rPr>
        <w:t xml:space="preserve">You will be emailed a Notice of Assessment with the duty amount payable, together with unique electronic payment details. After making payment you will need to take your documents to the Dickson Access Canberra Environment, Planning and Land Shopfront to have them stamped. You will need to present a copy of the Notice of Assessment for the transaction at the same time.  </w:t>
      </w:r>
    </w:p>
    <w:p w14:paraId="6E9531D4" w14:textId="77777777" w:rsidR="005E1B32" w:rsidRDefault="005E1B32" w:rsidP="005E1B32">
      <w:pPr>
        <w:rPr>
          <w:rFonts w:eastAsia="Calibri"/>
        </w:rPr>
      </w:pPr>
    </w:p>
    <w:p w14:paraId="550E8B84" w14:textId="77777777" w:rsidR="009F51EE" w:rsidRDefault="009F51EE" w:rsidP="005E1B32">
      <w:pPr>
        <w:rPr>
          <w:rFonts w:eastAsia="Calibri"/>
        </w:rPr>
      </w:pPr>
    </w:p>
    <w:p w14:paraId="2A0B23DE" w14:textId="77777777" w:rsidR="009F51EE" w:rsidRDefault="009F51EE" w:rsidP="005E1B32">
      <w:pPr>
        <w:rPr>
          <w:rFonts w:eastAsia="Calibri"/>
        </w:rPr>
      </w:pPr>
    </w:p>
    <w:p w14:paraId="086BB81F" w14:textId="77777777" w:rsidR="009F51EE" w:rsidRDefault="009F51EE" w:rsidP="005E1B32">
      <w:pPr>
        <w:rPr>
          <w:rFonts w:eastAsia="Calibri"/>
        </w:rPr>
      </w:pPr>
    </w:p>
    <w:p w14:paraId="278320C8" w14:textId="77777777" w:rsidR="009F51EE" w:rsidRPr="001B47A3" w:rsidRDefault="009F51EE" w:rsidP="005E1B32">
      <w:pPr>
        <w:rPr>
          <w:rFonts w:eastAsia="Calibri"/>
        </w:rPr>
      </w:pPr>
    </w:p>
    <w:p w14:paraId="6CA57239" w14:textId="77777777" w:rsidR="005E1B32" w:rsidRDefault="005E1B32" w:rsidP="005E1B32">
      <w:pPr>
        <w:rPr>
          <w:rFonts w:eastAsia="Calibri"/>
        </w:rPr>
      </w:pPr>
      <w:r w:rsidRPr="001B47A3">
        <w:rPr>
          <w:rFonts w:eastAsia="Calibri"/>
        </w:rPr>
        <w:t xml:space="preserve">For cancelled transactions dated before 18 September 2017, the rescission form must be completed and submitted to the ACT Revenue Office with the required attachments in order for the transaction to be cancelled and where applicable a refund issued.  </w:t>
      </w:r>
    </w:p>
    <w:p w14:paraId="211D139B" w14:textId="77777777" w:rsidR="005E1B32" w:rsidRPr="001B47A3" w:rsidRDefault="005E1B32" w:rsidP="005E1B32">
      <w:pPr>
        <w:pStyle w:val="Heading2"/>
        <w:rPr>
          <w:rFonts w:eastAsia="Calibri"/>
        </w:rPr>
      </w:pPr>
      <w:bookmarkStart w:id="6" w:name="_Toc489369646"/>
      <w:bookmarkStart w:id="7" w:name="_GoBack"/>
      <w:bookmarkEnd w:id="7"/>
      <w:r w:rsidRPr="001B47A3">
        <w:rPr>
          <w:rFonts w:eastAsia="Calibri"/>
        </w:rPr>
        <w:t xml:space="preserve">If </w:t>
      </w:r>
      <w:r>
        <w:rPr>
          <w:rFonts w:eastAsia="Calibri"/>
        </w:rPr>
        <w:t xml:space="preserve">documents have been lodged, but </w:t>
      </w:r>
      <w:r w:rsidRPr="001B47A3">
        <w:rPr>
          <w:rFonts w:eastAsia="Calibri"/>
        </w:rPr>
        <w:t>duty has not been paid</w:t>
      </w:r>
      <w:bookmarkEnd w:id="6"/>
    </w:p>
    <w:p w14:paraId="7385EFFB" w14:textId="77777777" w:rsidR="005E1B32" w:rsidRDefault="005E1B32" w:rsidP="005E1B32">
      <w:pPr>
        <w:rPr>
          <w:rFonts w:eastAsia="Calibri"/>
        </w:rPr>
      </w:pPr>
      <w:r w:rsidRPr="001B47A3">
        <w:rPr>
          <w:rFonts w:eastAsia="Calibri"/>
        </w:rPr>
        <w:t xml:space="preserve">If you lodged documents at Access Canberra before </w:t>
      </w:r>
      <w:r w:rsidRPr="007F0BD4">
        <w:rPr>
          <w:rFonts w:asciiTheme="minorHAnsi" w:eastAsiaTheme="minorEastAsia" w:hAnsiTheme="minorHAnsi"/>
        </w:rPr>
        <w:t>18</w:t>
      </w:r>
      <w:r w:rsidRPr="001B47A3">
        <w:rPr>
          <w:rFonts w:asciiTheme="minorHAnsi" w:eastAsiaTheme="minorEastAsia" w:hAnsiTheme="minorHAnsi"/>
        </w:rPr>
        <w:t xml:space="preserve"> September 2017</w:t>
      </w:r>
      <w:r w:rsidRPr="001B47A3">
        <w:rPr>
          <w:rFonts w:eastAsia="Calibri"/>
        </w:rPr>
        <w:t xml:space="preserve"> but did not make payment you will be required to pay using BPAY or Electronic Fu</w:t>
      </w:r>
      <w:r w:rsidRPr="00E70756">
        <w:rPr>
          <w:rFonts w:eastAsia="Calibri"/>
        </w:rPr>
        <w:t>nds Transfer.</w:t>
      </w:r>
    </w:p>
    <w:p w14:paraId="745465BE" w14:textId="77777777" w:rsidR="005E1B32" w:rsidRDefault="005E1B32" w:rsidP="005E1B32">
      <w:pPr>
        <w:rPr>
          <w:rFonts w:eastAsia="Calibri"/>
        </w:rPr>
      </w:pPr>
    </w:p>
    <w:p w14:paraId="64D02A13" w14:textId="77777777" w:rsidR="005E1B32" w:rsidRDefault="005E1B32" w:rsidP="005E1B32">
      <w:pPr>
        <w:rPr>
          <w:rFonts w:eastAsia="Calibri"/>
        </w:rPr>
      </w:pPr>
      <w:r w:rsidRPr="00E70756">
        <w:rPr>
          <w:rFonts w:eastAsia="Calibri"/>
        </w:rPr>
        <w:t xml:space="preserve">If </w:t>
      </w:r>
      <w:r>
        <w:rPr>
          <w:rFonts w:eastAsia="Calibri"/>
        </w:rPr>
        <w:t xml:space="preserve">you </w:t>
      </w:r>
      <w:r w:rsidRPr="00E70756">
        <w:rPr>
          <w:rFonts w:eastAsia="Calibri"/>
        </w:rPr>
        <w:t>received a Notice of Assessment</w:t>
      </w:r>
      <w:r>
        <w:rPr>
          <w:rFonts w:eastAsia="Calibri"/>
        </w:rPr>
        <w:t xml:space="preserve"> prior to</w:t>
      </w:r>
      <w:r w:rsidRPr="00E70756">
        <w:rPr>
          <w:rFonts w:eastAsia="Calibri"/>
        </w:rPr>
        <w:t xml:space="preserve"> </w:t>
      </w:r>
      <w:r>
        <w:rPr>
          <w:rFonts w:eastAsia="Calibri"/>
        </w:rPr>
        <w:t>the implementation date</w:t>
      </w:r>
      <w:r w:rsidRPr="00E70756">
        <w:rPr>
          <w:rFonts w:eastAsia="Calibri"/>
        </w:rPr>
        <w:t xml:space="preserve">, </w:t>
      </w:r>
      <w:r>
        <w:rPr>
          <w:rFonts w:eastAsia="Calibri"/>
        </w:rPr>
        <w:t>you</w:t>
      </w:r>
      <w:r w:rsidRPr="00E70756">
        <w:rPr>
          <w:rFonts w:eastAsia="Calibri"/>
        </w:rPr>
        <w:t xml:space="preserve"> will be </w:t>
      </w:r>
      <w:r>
        <w:rPr>
          <w:rFonts w:eastAsia="Calibri"/>
        </w:rPr>
        <w:t>re</w:t>
      </w:r>
      <w:r>
        <w:rPr>
          <w:rFonts w:eastAsia="Calibri"/>
        </w:rPr>
        <w:noBreakHyphen/>
      </w:r>
      <w:r w:rsidRPr="00E70756">
        <w:rPr>
          <w:rFonts w:eastAsia="Calibri"/>
        </w:rPr>
        <w:t xml:space="preserve">issued a </w:t>
      </w:r>
      <w:r w:rsidRPr="00E70756">
        <w:rPr>
          <w:rFonts w:eastAsia="Calibri"/>
        </w:rPr>
        <w:lastRenderedPageBreak/>
        <w:t>Notice of Assessment with unique electronic payment details to pay your duty liability</w:t>
      </w:r>
      <w:r>
        <w:rPr>
          <w:rFonts w:eastAsia="Calibri"/>
        </w:rPr>
        <w:t xml:space="preserve"> online</w:t>
      </w:r>
      <w:r w:rsidRPr="00E70756">
        <w:rPr>
          <w:rFonts w:eastAsia="Calibri"/>
        </w:rPr>
        <w:t>.</w:t>
      </w:r>
      <w:r>
        <w:rPr>
          <w:rFonts w:eastAsia="Calibri"/>
        </w:rPr>
        <w:t xml:space="preserve"> This will be a new notice of your existing assessment, not a brand-new assessment.</w:t>
      </w:r>
    </w:p>
    <w:p w14:paraId="20EB0514" w14:textId="77777777" w:rsidR="005E1B32" w:rsidRDefault="005E1B32" w:rsidP="005E1B32">
      <w:pPr>
        <w:rPr>
          <w:rFonts w:eastAsia="Calibri"/>
        </w:rPr>
      </w:pPr>
    </w:p>
    <w:p w14:paraId="732E9280" w14:textId="77777777" w:rsidR="005E1B32" w:rsidRDefault="005E1B32" w:rsidP="005E1B32">
      <w:pPr>
        <w:rPr>
          <w:rFonts w:eastAsia="Calibri"/>
        </w:rPr>
      </w:pPr>
      <w:r>
        <w:rPr>
          <w:rFonts w:eastAsia="Calibri"/>
        </w:rPr>
        <w:t>The details in the original Notice of Assessment issued for your transaction, including the duty due date and your timeframe to lodge an objection remain unchanged.</w:t>
      </w:r>
    </w:p>
    <w:p w14:paraId="5CB72837" w14:textId="77777777" w:rsidR="005E1B32" w:rsidRDefault="005E1B32" w:rsidP="005E1B32">
      <w:pPr>
        <w:rPr>
          <w:rFonts w:eastAsia="Calibri"/>
        </w:rPr>
      </w:pPr>
    </w:p>
    <w:p w14:paraId="798EBF96" w14:textId="77777777" w:rsidR="005E1B32" w:rsidRDefault="005E1B32" w:rsidP="005E1B32">
      <w:pPr>
        <w:rPr>
          <w:rFonts w:eastAsia="Calibri"/>
        </w:rPr>
      </w:pPr>
      <w:r>
        <w:rPr>
          <w:rFonts w:eastAsia="Calibri"/>
        </w:rPr>
        <w:t xml:space="preserve">If you are lodging your transaction via the online eLodge Conveyance Smart Form </w:t>
      </w:r>
      <w:r w:rsidRPr="00E70756">
        <w:rPr>
          <w:rFonts w:eastAsia="Calibri"/>
        </w:rPr>
        <w:t>a Notice of Assessment will be issued once the duty liability for the transaction has been assessed</w:t>
      </w:r>
      <w:r>
        <w:rPr>
          <w:rFonts w:eastAsia="Calibri"/>
        </w:rPr>
        <w:t>, which will include your unique electronic payment details for the transaction</w:t>
      </w:r>
      <w:r w:rsidRPr="00E70756">
        <w:rPr>
          <w:rFonts w:eastAsia="Calibri"/>
        </w:rPr>
        <w:t xml:space="preserve">. </w:t>
      </w:r>
    </w:p>
    <w:p w14:paraId="7458D620" w14:textId="77777777" w:rsidR="005E1B32" w:rsidRDefault="005E1B32" w:rsidP="005E1B32">
      <w:pPr>
        <w:rPr>
          <w:rFonts w:eastAsia="Calibri"/>
        </w:rPr>
      </w:pPr>
    </w:p>
    <w:p w14:paraId="0F1B748D" w14:textId="77777777" w:rsidR="005E1B32" w:rsidRDefault="005E1B32" w:rsidP="005E1B32">
      <w:pPr>
        <w:rPr>
          <w:rFonts w:eastAsia="Calibri"/>
        </w:rPr>
      </w:pPr>
      <w:r w:rsidRPr="00E70756">
        <w:rPr>
          <w:rFonts w:eastAsia="Calibri"/>
        </w:rPr>
        <w:t xml:space="preserve">After making payment </w:t>
      </w:r>
      <w:r>
        <w:rPr>
          <w:rFonts w:eastAsia="Calibri"/>
        </w:rPr>
        <w:t>you</w:t>
      </w:r>
      <w:r w:rsidRPr="00E70756">
        <w:rPr>
          <w:rFonts w:eastAsia="Calibri"/>
        </w:rPr>
        <w:t xml:space="preserve"> will need to take </w:t>
      </w:r>
      <w:r>
        <w:rPr>
          <w:rFonts w:eastAsia="Calibri"/>
        </w:rPr>
        <w:t>your</w:t>
      </w:r>
      <w:r w:rsidRPr="00E70756">
        <w:rPr>
          <w:rFonts w:eastAsia="Calibri"/>
        </w:rPr>
        <w:t xml:space="preserve"> Notice of Assessment to the Dickson Access Canberra </w:t>
      </w:r>
      <w:r>
        <w:rPr>
          <w:rFonts w:eastAsia="Calibri"/>
        </w:rPr>
        <w:t>Environment, Planning and Land Shopfront</w:t>
      </w:r>
      <w:r w:rsidRPr="00E70756">
        <w:rPr>
          <w:rFonts w:eastAsia="Calibri"/>
        </w:rPr>
        <w:t xml:space="preserve"> to collect </w:t>
      </w:r>
      <w:r>
        <w:rPr>
          <w:rFonts w:eastAsia="Calibri"/>
        </w:rPr>
        <w:t>your</w:t>
      </w:r>
      <w:r w:rsidRPr="00E70756">
        <w:rPr>
          <w:rFonts w:eastAsia="Calibri"/>
        </w:rPr>
        <w:t xml:space="preserve"> documents and have them stamped.</w:t>
      </w:r>
      <w:r w:rsidRPr="000815A1">
        <w:rPr>
          <w:rFonts w:eastAsia="Calibri"/>
        </w:rPr>
        <w:t xml:space="preserve"> </w:t>
      </w:r>
    </w:p>
    <w:p w14:paraId="2B53007E" w14:textId="77777777" w:rsidR="005A0AB5" w:rsidRPr="005F709B" w:rsidRDefault="005A0AB5" w:rsidP="005A0AB5">
      <w:pPr>
        <w:rPr>
          <w:rFonts w:asciiTheme="minorHAnsi" w:hAnsiTheme="minorHAnsi"/>
        </w:rPr>
      </w:pPr>
    </w:p>
    <w:p w14:paraId="2A46AF40" w14:textId="77777777" w:rsidR="005A0AB5" w:rsidRDefault="00C126D6" w:rsidP="005A0AB5">
      <w:r>
        <w:t>Signed</w:t>
      </w:r>
    </w:p>
    <w:p w14:paraId="74BDFD0B" w14:textId="77777777" w:rsidR="005A0AB5" w:rsidRDefault="005A0AB5" w:rsidP="005A0AB5"/>
    <w:p w14:paraId="37A1842F" w14:textId="77777777" w:rsidR="005A0AB5" w:rsidRPr="00C126D6" w:rsidRDefault="005A0AB5" w:rsidP="005A0AB5">
      <w:r>
        <w:t>Kim Sa</w:t>
      </w:r>
      <w:r w:rsidRPr="00C126D6">
        <w:t>lisbury</w:t>
      </w:r>
    </w:p>
    <w:p w14:paraId="4A58DC36" w14:textId="77777777" w:rsidR="005A0AB5" w:rsidRPr="00C126D6" w:rsidRDefault="005A0AB5" w:rsidP="005A0AB5">
      <w:r w:rsidRPr="00C126D6">
        <w:t>Commissioner for ACT Revenue</w:t>
      </w:r>
    </w:p>
    <w:p w14:paraId="4E04D4FD" w14:textId="77777777" w:rsidR="005A0AB5" w:rsidRPr="005F709B" w:rsidRDefault="005A0AB5" w:rsidP="005A0AB5">
      <w:pPr>
        <w:adjustRightInd w:val="0"/>
        <w:rPr>
          <w:rFonts w:cs="Arial"/>
          <w:bCs/>
        </w:rPr>
      </w:pPr>
      <w:r w:rsidRPr="00C126D6">
        <w:t>18 September 2017</w:t>
      </w:r>
    </w:p>
    <w:p w14:paraId="2A6BD1CB" w14:textId="77777777" w:rsidR="005A0AB5" w:rsidRPr="005F709B" w:rsidRDefault="005A0AB5" w:rsidP="005A0AB5">
      <w:pPr>
        <w:rPr>
          <w:rFonts w:cs="Arial"/>
          <w:bCs/>
        </w:rPr>
      </w:pPr>
    </w:p>
    <w:p w14:paraId="055C1119"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EA92" w14:textId="77777777" w:rsidR="005E1B32" w:rsidRDefault="005E1B32" w:rsidP="005B0828">
      <w:r>
        <w:separator/>
      </w:r>
    </w:p>
  </w:endnote>
  <w:endnote w:type="continuationSeparator" w:id="0">
    <w:p w14:paraId="298F10AF" w14:textId="77777777" w:rsidR="005E1B32" w:rsidRDefault="005E1B32"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CED8" w14:textId="77777777" w:rsidR="00B00B86" w:rsidRPr="009F51EE" w:rsidRDefault="00D12E16" w:rsidP="00D12E16">
    <w:pPr>
      <w:jc w:val="center"/>
    </w:pPr>
    <w:r w:rsidRPr="009F51EE">
      <w:rPr>
        <w:sz w:val="18"/>
        <w:szCs w:val="18"/>
        <w:lang w:val="it-IT"/>
      </w:rPr>
      <w:t xml:space="preserve">PO Box 293, Civic Square ACT 2608  |  phone: 6207 0028  |  </w:t>
    </w:r>
    <w:hyperlink r:id="rId1" w:history="1">
      <w:r w:rsidRPr="009F51EE">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F033" w14:textId="77777777" w:rsidR="00B00B86" w:rsidRPr="009F51EE" w:rsidRDefault="00B00B86" w:rsidP="00B00B86">
    <w:pPr>
      <w:jc w:val="center"/>
    </w:pPr>
    <w:r w:rsidRPr="009F51EE">
      <w:rPr>
        <w:sz w:val="18"/>
        <w:szCs w:val="18"/>
        <w:lang w:val="it-IT"/>
      </w:rPr>
      <w:t xml:space="preserve">PO Box 293, Civic Square ACT 2608  |  phone: 6207 0028  |  </w:t>
    </w:r>
    <w:hyperlink r:id="rId1" w:history="1">
      <w:r w:rsidRPr="009F51EE">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083A" w14:textId="77777777" w:rsidR="005E1B32" w:rsidRDefault="005E1B32" w:rsidP="005B0828">
      <w:r w:rsidRPr="005B0828">
        <w:rPr>
          <w:color w:val="000000"/>
        </w:rPr>
        <w:separator/>
      </w:r>
    </w:p>
  </w:footnote>
  <w:footnote w:type="continuationSeparator" w:id="0">
    <w:p w14:paraId="19A573F9" w14:textId="77777777" w:rsidR="005E1B32" w:rsidRDefault="005E1B32"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C9C1"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442DEA"/>
    <w:multiLevelType w:val="hybridMultilevel"/>
    <w:tmpl w:val="684232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6"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8E070A0"/>
    <w:multiLevelType w:val="hybridMultilevel"/>
    <w:tmpl w:val="F61E7CAC"/>
    <w:lvl w:ilvl="0" w:tplc="4DAE9B94">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15"/>
  </w:num>
  <w:num w:numId="5">
    <w:abstractNumId w:val="20"/>
  </w:num>
  <w:num w:numId="6">
    <w:abstractNumId w:val="6"/>
  </w:num>
  <w:num w:numId="7">
    <w:abstractNumId w:val="33"/>
  </w:num>
  <w:num w:numId="8">
    <w:abstractNumId w:val="2"/>
  </w:num>
  <w:num w:numId="9">
    <w:abstractNumId w:val="29"/>
  </w:num>
  <w:num w:numId="10">
    <w:abstractNumId w:val="28"/>
  </w:num>
  <w:num w:numId="11">
    <w:abstractNumId w:val="19"/>
  </w:num>
  <w:num w:numId="12">
    <w:abstractNumId w:val="14"/>
  </w:num>
  <w:num w:numId="13">
    <w:abstractNumId w:val="17"/>
  </w:num>
  <w:num w:numId="14">
    <w:abstractNumId w:val="12"/>
  </w:num>
  <w:num w:numId="15">
    <w:abstractNumId w:val="26"/>
  </w:num>
  <w:num w:numId="16">
    <w:abstractNumId w:val="5"/>
  </w:num>
  <w:num w:numId="17">
    <w:abstractNumId w:val="22"/>
  </w:num>
  <w:num w:numId="18">
    <w:abstractNumId w:val="7"/>
  </w:num>
  <w:num w:numId="19">
    <w:abstractNumId w:val="13"/>
  </w:num>
  <w:num w:numId="20">
    <w:abstractNumId w:val="4"/>
  </w:num>
  <w:num w:numId="21">
    <w:abstractNumId w:val="0"/>
  </w:num>
  <w:num w:numId="22">
    <w:abstractNumId w:val="16"/>
  </w:num>
  <w:num w:numId="23">
    <w:abstractNumId w:val="24"/>
  </w:num>
  <w:num w:numId="24">
    <w:abstractNumId w:val="10"/>
  </w:num>
  <w:num w:numId="25">
    <w:abstractNumId w:val="9"/>
  </w:num>
  <w:num w:numId="26">
    <w:abstractNumId w:val="11"/>
  </w:num>
  <w:num w:numId="27">
    <w:abstractNumId w:val="27"/>
  </w:num>
  <w:num w:numId="28">
    <w:abstractNumId w:val="25"/>
  </w:num>
  <w:num w:numId="29">
    <w:abstractNumId w:val="30"/>
  </w:num>
  <w:num w:numId="30">
    <w:abstractNumId w:val="23"/>
  </w:num>
  <w:num w:numId="31">
    <w:abstractNumId w:val="31"/>
  </w:num>
  <w:num w:numId="32">
    <w:abstractNumId w:val="3"/>
  </w:num>
  <w:num w:numId="33">
    <w:abstractNumId w:val="8"/>
  </w:num>
  <w:num w:numId="34">
    <w:abstractNumId w:val="3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32"/>
    <w:rsid w:val="00083561"/>
    <w:rsid w:val="000A00F3"/>
    <w:rsid w:val="000D649E"/>
    <w:rsid w:val="000D64C3"/>
    <w:rsid w:val="00187517"/>
    <w:rsid w:val="00190E9D"/>
    <w:rsid w:val="00193116"/>
    <w:rsid w:val="001D2FB9"/>
    <w:rsid w:val="00210C1D"/>
    <w:rsid w:val="002240B1"/>
    <w:rsid w:val="00244887"/>
    <w:rsid w:val="00244BAC"/>
    <w:rsid w:val="00275FAE"/>
    <w:rsid w:val="002949B0"/>
    <w:rsid w:val="002C7FA8"/>
    <w:rsid w:val="00310E54"/>
    <w:rsid w:val="00352DBF"/>
    <w:rsid w:val="00391CB7"/>
    <w:rsid w:val="003F1C85"/>
    <w:rsid w:val="005473C9"/>
    <w:rsid w:val="005A0AB5"/>
    <w:rsid w:val="005B0828"/>
    <w:rsid w:val="005E1B32"/>
    <w:rsid w:val="006A0B3E"/>
    <w:rsid w:val="006B0ECA"/>
    <w:rsid w:val="006B2035"/>
    <w:rsid w:val="00712A2B"/>
    <w:rsid w:val="007740D6"/>
    <w:rsid w:val="007E496D"/>
    <w:rsid w:val="00822F9C"/>
    <w:rsid w:val="008A5140"/>
    <w:rsid w:val="008B1CDE"/>
    <w:rsid w:val="00941BBA"/>
    <w:rsid w:val="0096709E"/>
    <w:rsid w:val="009F51EE"/>
    <w:rsid w:val="00A65505"/>
    <w:rsid w:val="00A812EA"/>
    <w:rsid w:val="00AD4741"/>
    <w:rsid w:val="00AF7801"/>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81FA3"/>
    <w:rsid w:val="00EB74B1"/>
    <w:rsid w:val="00ED69A4"/>
    <w:rsid w:val="00EF71FA"/>
    <w:rsid w:val="00F128F0"/>
    <w:rsid w:val="00F215F7"/>
    <w:rsid w:val="00F239FC"/>
    <w:rsid w:val="00F23FF4"/>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30B31"/>
  <w15:docId w15:val="{CAB2799A-201B-4250-9B83-2BD0387B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venue.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ac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514CCC4A-78D5-4031-8852-2531CC075875}">
  <ds:schemaRef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92A193-706F-4B61-B864-4BBC1B95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5267</Characters>
  <Application>Microsoft Office Word</Application>
  <DocSecurity>4</DocSecurity>
  <Lines>150</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2017-09-11T23:03:00Z</dcterms:created>
  <dcterms:modified xsi:type="dcterms:W3CDTF">2017-09-11T23:03:00Z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