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CA" w:rsidRDefault="005B0878" w:rsidP="00DA0B26">
      <w:pPr>
        <w:pStyle w:val="BodyText"/>
        <w:overflowPunct w:val="0"/>
        <w:ind w:right="-142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5.2pt;margin-top:66.1pt;width:212.1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AXtA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" filled="f" stroked="f">
            <v:textbox>
              <w:txbxContent>
                <w:p w:rsidR="00D3419A" w:rsidRPr="006B0ECA" w:rsidRDefault="00D3419A">
                  <w:p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B0ECA">
                    <w:rPr>
                      <w:b/>
                      <w:color w:val="FFFFFF" w:themeColor="background1"/>
                      <w:sz w:val="40"/>
                      <w:szCs w:val="40"/>
                    </w:rPr>
                    <w:t>ACT REVENUE OFFICE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8" o:spid="_x0000_s1027" style="position:absolute;left:0;text-align:left;margin-left:188.7pt;margin-top:-124.85pt;width:277.8pt;height: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" filled="f" stroked="f">
            <v:textbox>
              <w:txbxContent>
                <w:p w:rsidR="00D3419A" w:rsidRPr="00D908F9" w:rsidRDefault="00D3419A" w:rsidP="00391CB7">
                  <w:pPr>
                    <w:pStyle w:val="Header"/>
                    <w:tabs>
                      <w:tab w:val="clear" w:pos="4513"/>
                    </w:tabs>
                    <w:jc w:val="both"/>
                    <w:rPr>
                      <w:color w:val="FFFFFF"/>
                      <w:sz w:val="56"/>
                      <w:szCs w:val="56"/>
                    </w:rPr>
                  </w:pPr>
                  <w:r>
                    <w:rPr>
                      <w:color w:val="FFFFFF"/>
                      <w:sz w:val="56"/>
                      <w:szCs w:val="56"/>
                    </w:rPr>
                    <w:t>ACT Revenue Office</w:t>
                  </w:r>
                </w:p>
              </w:txbxContent>
            </v:textbox>
          </v:rect>
        </w:pict>
      </w:r>
      <w:r w:rsidR="00391CB7">
        <w:rPr>
          <w:noProof/>
        </w:rPr>
        <w:drawing>
          <wp:inline distT="0" distB="0" distL="0" distR="0">
            <wp:extent cx="9448201" cy="2184071"/>
            <wp:effectExtent l="19050" t="0" r="59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949" cy="218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ECA" w:rsidRPr="00CD6913" w:rsidRDefault="006B0ECA" w:rsidP="00AD4741">
      <w:pPr>
        <w:ind w:left="1134"/>
        <w:jc w:val="both"/>
        <w:rPr>
          <w:rFonts w:asciiTheme="minorHAnsi" w:hAnsiTheme="minorHAnsi"/>
        </w:rPr>
      </w:pPr>
    </w:p>
    <w:tbl>
      <w:tblPr>
        <w:tblW w:w="4386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9640"/>
      </w:tblGrid>
      <w:tr w:rsidR="00F44A8D" w:rsidRPr="00404085" w:rsidTr="00DD500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D9D9D9"/>
          </w:tcPr>
          <w:p w:rsidR="00F44A8D" w:rsidRPr="00705A5A" w:rsidRDefault="00F44A8D" w:rsidP="00765EA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REVENUE CIRCULAR PTA0</w:t>
            </w:r>
            <w:r w:rsidR="00765EA5">
              <w:rPr>
                <w:b/>
                <w:lang w:eastAsia="en-US"/>
              </w:rPr>
              <w:t>1</w:t>
            </w:r>
            <w:r w:rsidR="00910729">
              <w:rPr>
                <w:b/>
                <w:lang w:eastAsia="en-US"/>
              </w:rPr>
              <w:t>7</w:t>
            </w:r>
          </w:p>
        </w:tc>
      </w:tr>
      <w:tr w:rsidR="00F44A8D" w:rsidRPr="00404085" w:rsidTr="00DD500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910729" w:rsidP="00AD474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Grouping of Professional Practices and Administrative Businesses</w:t>
            </w:r>
            <w:r w:rsidR="00F44A8D">
              <w:rPr>
                <w:lang w:eastAsia="en-US"/>
              </w:rPr>
              <w:t xml:space="preserve"> – </w:t>
            </w:r>
            <w:r w:rsidR="00F44A8D" w:rsidRPr="00F44A8D">
              <w:rPr>
                <w:i/>
                <w:lang w:eastAsia="en-US"/>
              </w:rPr>
              <w:t>Payroll Tax Act 2011</w:t>
            </w:r>
          </w:p>
        </w:tc>
      </w:tr>
      <w:tr w:rsidR="00F44A8D" w:rsidRPr="00404085" w:rsidTr="00DD500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F44A8D" w:rsidP="00765EA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Issue Date: </w:t>
            </w:r>
            <w:r w:rsidR="00765EA5">
              <w:rPr>
                <w:lang w:eastAsia="en-US"/>
              </w:rPr>
              <w:t>30 June 2011</w:t>
            </w:r>
          </w:p>
        </w:tc>
      </w:tr>
      <w:tr w:rsidR="00F44A8D" w:rsidRPr="00404085" w:rsidTr="00DD500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F44A8D" w:rsidP="00AD4741">
            <w:pPr>
              <w:jc w:val="both"/>
            </w:pPr>
            <w:r>
              <w:t>Status: Current</w:t>
            </w:r>
            <w:r w:rsidR="00765EA5">
              <w:t xml:space="preserve"> – Effective from 1 July 2011</w:t>
            </w:r>
          </w:p>
        </w:tc>
      </w:tr>
      <w:tr w:rsidR="00310E54" w:rsidRPr="00404085" w:rsidTr="00DD500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310E54" w:rsidRDefault="00310E54" w:rsidP="00765EA5">
            <w:pPr>
              <w:jc w:val="both"/>
            </w:pPr>
            <w:r>
              <w:t>Previous Circular: PT</w:t>
            </w:r>
            <w:r w:rsidR="00765EA5">
              <w:t>X01</w:t>
            </w:r>
            <w:r w:rsidR="00910729">
              <w:t>7</w:t>
            </w:r>
          </w:p>
        </w:tc>
      </w:tr>
    </w:tbl>
    <w:p w:rsidR="00F44A8D" w:rsidRPr="00DD5009" w:rsidRDefault="00395290" w:rsidP="00DD5009">
      <w:pPr>
        <w:pStyle w:val="Heading1"/>
        <w:spacing w:before="120" w:after="60" w:line="240" w:lineRule="auto"/>
        <w:ind w:left="1701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Preamble</w:t>
      </w:r>
    </w:p>
    <w:p w:rsidR="00910729" w:rsidRDefault="00910729" w:rsidP="00910729">
      <w:pPr>
        <w:adjustRightInd w:val="0"/>
        <w:spacing w:after="120"/>
        <w:ind w:left="1134"/>
        <w:jc w:val="both"/>
        <w:rPr>
          <w:rFonts w:cs="Arial"/>
        </w:rPr>
      </w:pPr>
      <w:r w:rsidRPr="0066664F">
        <w:rPr>
          <w:rFonts w:cs="Arial"/>
        </w:rPr>
        <w:t xml:space="preserve">The </w:t>
      </w:r>
      <w:r w:rsidRPr="0066664F">
        <w:rPr>
          <w:rFonts w:cs="Arial"/>
          <w:i/>
        </w:rPr>
        <w:t>Payroll Tax Act 2011</w:t>
      </w:r>
      <w:r w:rsidRPr="0066664F">
        <w:rPr>
          <w:rFonts w:cs="Arial"/>
        </w:rPr>
        <w:t xml:space="preserve"> (the Act), which </w:t>
      </w:r>
      <w:r w:rsidRPr="00844E24">
        <w:rPr>
          <w:rFonts w:cs="Arial"/>
        </w:rPr>
        <w:t>commenced on 1 July 2011</w:t>
      </w:r>
      <w:r w:rsidRPr="0066664F">
        <w:rPr>
          <w:rFonts w:cs="Arial"/>
        </w:rPr>
        <w:t xml:space="preserve">, rewrites the </w:t>
      </w:r>
      <w:r w:rsidRPr="000715D3">
        <w:rPr>
          <w:rFonts w:cs="Arial"/>
          <w:i/>
        </w:rPr>
        <w:t>Payroll Tax Act 1987</w:t>
      </w:r>
      <w:r w:rsidRPr="0066664F">
        <w:rPr>
          <w:rFonts w:cs="Arial"/>
        </w:rPr>
        <w:t xml:space="preserve"> (the 1987 Act) and harmonises the payroll tax legislation </w:t>
      </w:r>
      <w:r>
        <w:rPr>
          <w:rFonts w:cs="Arial"/>
        </w:rPr>
        <w:t>in the Australian jurisdictions.</w:t>
      </w:r>
      <w:r w:rsidRPr="0066664F">
        <w:rPr>
          <w:rFonts w:cs="Arial"/>
        </w:rPr>
        <w:t xml:space="preserve">  </w:t>
      </w:r>
    </w:p>
    <w:p w:rsidR="00910729" w:rsidRPr="001316BC" w:rsidRDefault="00910729" w:rsidP="00910729">
      <w:pPr>
        <w:pStyle w:val="PlainText"/>
        <w:spacing w:before="120" w:after="120"/>
        <w:ind w:left="1701" w:hanging="567"/>
        <w:jc w:val="both"/>
        <w:rPr>
          <w:rFonts w:ascii="Calibri" w:hAnsi="Calibri" w:cs="Arial"/>
          <w:color w:val="000000"/>
        </w:rPr>
      </w:pPr>
      <w:r w:rsidRPr="001316BC">
        <w:rPr>
          <w:rFonts w:ascii="Calibri" w:hAnsi="Calibri" w:cs="Arial"/>
        </w:rPr>
        <w:t>1.</w:t>
      </w:r>
      <w:r w:rsidRPr="001316BC">
        <w:rPr>
          <w:rFonts w:ascii="Calibri" w:hAnsi="Calibri" w:cs="Arial"/>
        </w:rPr>
        <w:tab/>
        <w:t xml:space="preserve">Under </w:t>
      </w:r>
      <w:r w:rsidRPr="001316BC">
        <w:rPr>
          <w:rFonts w:ascii="Calibri" w:hAnsi="Calibri" w:cs="Arial"/>
          <w:color w:val="000000"/>
        </w:rPr>
        <w:t xml:space="preserve">the grouping provisions in Part </w:t>
      </w:r>
      <w:r>
        <w:rPr>
          <w:rFonts w:ascii="Calibri" w:hAnsi="Calibri" w:cs="Arial"/>
          <w:color w:val="000000"/>
        </w:rPr>
        <w:t>5</w:t>
      </w:r>
      <w:r w:rsidRPr="001316BC">
        <w:rPr>
          <w:rFonts w:ascii="Calibri" w:hAnsi="Calibri" w:cs="Arial"/>
          <w:color w:val="000000"/>
        </w:rPr>
        <w:t xml:space="preserve"> of the Act, two or more employers may constitute a group if: </w:t>
      </w:r>
    </w:p>
    <w:p w:rsidR="00910729" w:rsidRPr="001316BC" w:rsidRDefault="00910729" w:rsidP="00910729">
      <w:pPr>
        <w:pStyle w:val="Default"/>
        <w:numPr>
          <w:ilvl w:val="0"/>
          <w:numId w:val="4"/>
        </w:numPr>
        <w:tabs>
          <w:tab w:val="clear" w:pos="1440"/>
        </w:tabs>
        <w:spacing w:before="120" w:after="120"/>
        <w:ind w:left="2694"/>
        <w:jc w:val="both"/>
        <w:rPr>
          <w:rFonts w:ascii="Calibri" w:hAnsi="Calibri"/>
        </w:rPr>
      </w:pPr>
      <w:r w:rsidRPr="001316BC">
        <w:rPr>
          <w:rFonts w:ascii="Calibri" w:hAnsi="Calibri"/>
        </w:rPr>
        <w:t xml:space="preserve">they are corporations that are related bodies corporate within the meaning of the </w:t>
      </w:r>
      <w:r w:rsidRPr="001316BC">
        <w:rPr>
          <w:rFonts w:ascii="Calibri" w:hAnsi="Calibri"/>
          <w:i/>
        </w:rPr>
        <w:t>Corporations Act 2001</w:t>
      </w:r>
      <w:r w:rsidRPr="001316BC">
        <w:rPr>
          <w:rFonts w:ascii="Calibri" w:hAnsi="Calibri"/>
        </w:rPr>
        <w:t xml:space="preserve"> (</w:t>
      </w:r>
      <w:proofErr w:type="spellStart"/>
      <w:r w:rsidRPr="001316BC">
        <w:rPr>
          <w:rFonts w:ascii="Calibri" w:hAnsi="Calibri"/>
        </w:rPr>
        <w:t>C</w:t>
      </w:r>
      <w:r>
        <w:rPr>
          <w:rFonts w:ascii="Calibri" w:hAnsi="Calibri"/>
        </w:rPr>
        <w:t>w</w:t>
      </w:r>
      <w:r w:rsidRPr="001316BC">
        <w:rPr>
          <w:rFonts w:ascii="Calibri" w:hAnsi="Calibri"/>
        </w:rPr>
        <w:t>th</w:t>
      </w:r>
      <w:proofErr w:type="spellEnd"/>
      <w:r w:rsidRPr="001316BC">
        <w:rPr>
          <w:rFonts w:ascii="Calibri" w:hAnsi="Calibri"/>
        </w:rPr>
        <w:t xml:space="preserve">) (section </w:t>
      </w:r>
      <w:r>
        <w:rPr>
          <w:rFonts w:ascii="Calibri" w:hAnsi="Calibri"/>
        </w:rPr>
        <w:t>70</w:t>
      </w:r>
      <w:r w:rsidRPr="001316BC">
        <w:rPr>
          <w:rFonts w:ascii="Calibri" w:hAnsi="Calibri"/>
        </w:rPr>
        <w:t xml:space="preserve"> of the Act);</w:t>
      </w:r>
    </w:p>
    <w:p w:rsidR="00910729" w:rsidRPr="001316BC" w:rsidRDefault="00910729" w:rsidP="00910729">
      <w:pPr>
        <w:pStyle w:val="Default"/>
        <w:numPr>
          <w:ilvl w:val="0"/>
          <w:numId w:val="4"/>
        </w:numPr>
        <w:tabs>
          <w:tab w:val="clear" w:pos="1440"/>
        </w:tabs>
        <w:spacing w:before="120" w:after="120"/>
        <w:ind w:left="2694"/>
        <w:jc w:val="both"/>
        <w:rPr>
          <w:rFonts w:ascii="Calibri" w:hAnsi="Calibri"/>
        </w:rPr>
      </w:pPr>
      <w:r w:rsidRPr="001316BC">
        <w:rPr>
          <w:rFonts w:ascii="Calibri" w:hAnsi="Calibri"/>
        </w:rPr>
        <w:t xml:space="preserve">they share or inter-use employees (section </w:t>
      </w:r>
      <w:r>
        <w:rPr>
          <w:rFonts w:ascii="Calibri" w:hAnsi="Calibri"/>
        </w:rPr>
        <w:t>7</w:t>
      </w:r>
      <w:r w:rsidRPr="001316BC">
        <w:rPr>
          <w:rFonts w:ascii="Calibri" w:hAnsi="Calibri"/>
        </w:rPr>
        <w:t>I of the Act);</w:t>
      </w:r>
    </w:p>
    <w:p w:rsidR="00910729" w:rsidRPr="001316BC" w:rsidRDefault="00910729" w:rsidP="00910729">
      <w:pPr>
        <w:pStyle w:val="Default"/>
        <w:numPr>
          <w:ilvl w:val="0"/>
          <w:numId w:val="4"/>
        </w:numPr>
        <w:tabs>
          <w:tab w:val="clear" w:pos="1440"/>
        </w:tabs>
        <w:spacing w:before="120" w:after="120"/>
        <w:ind w:left="2694"/>
        <w:jc w:val="both"/>
        <w:rPr>
          <w:rFonts w:ascii="Calibri" w:hAnsi="Calibri"/>
        </w:rPr>
      </w:pPr>
      <w:r w:rsidRPr="001316BC">
        <w:rPr>
          <w:rFonts w:ascii="Calibri" w:hAnsi="Calibri"/>
        </w:rPr>
        <w:t xml:space="preserve">they are controlled by the same person(s) (section </w:t>
      </w:r>
      <w:r>
        <w:rPr>
          <w:rFonts w:ascii="Calibri" w:hAnsi="Calibri"/>
        </w:rPr>
        <w:t>72</w:t>
      </w:r>
      <w:r w:rsidRPr="001316BC">
        <w:rPr>
          <w:rFonts w:ascii="Calibri" w:hAnsi="Calibri"/>
        </w:rPr>
        <w:t xml:space="preserve"> of the Act), or </w:t>
      </w:r>
    </w:p>
    <w:p w:rsidR="00910729" w:rsidRPr="001316BC" w:rsidRDefault="00910729" w:rsidP="00910729">
      <w:pPr>
        <w:pStyle w:val="Default"/>
        <w:numPr>
          <w:ilvl w:val="0"/>
          <w:numId w:val="4"/>
        </w:numPr>
        <w:tabs>
          <w:tab w:val="clear" w:pos="1440"/>
        </w:tabs>
        <w:spacing w:before="120" w:after="120"/>
        <w:ind w:left="2694"/>
        <w:jc w:val="both"/>
        <w:rPr>
          <w:rFonts w:ascii="Calibri" w:hAnsi="Calibri"/>
        </w:rPr>
      </w:pPr>
      <w:r w:rsidRPr="001316BC">
        <w:rPr>
          <w:rFonts w:ascii="Calibri" w:hAnsi="Calibri"/>
        </w:rPr>
        <w:t xml:space="preserve">one has a controlling interest in the other (being a corporation) under the tracing provisions in section </w:t>
      </w:r>
      <w:r>
        <w:rPr>
          <w:rFonts w:ascii="Calibri" w:hAnsi="Calibri"/>
        </w:rPr>
        <w:t>73</w:t>
      </w:r>
      <w:r w:rsidRPr="001316BC">
        <w:rPr>
          <w:rFonts w:ascii="Calibri" w:hAnsi="Calibri"/>
        </w:rPr>
        <w:t xml:space="preserve"> of the Act</w:t>
      </w:r>
    </w:p>
    <w:p w:rsidR="00910729" w:rsidRPr="001316BC" w:rsidRDefault="00910729" w:rsidP="00910729">
      <w:pPr>
        <w:pStyle w:val="PlainText"/>
        <w:spacing w:before="120" w:after="120"/>
        <w:ind w:left="1701" w:hanging="567"/>
        <w:jc w:val="both"/>
        <w:rPr>
          <w:rFonts w:ascii="Calibri" w:hAnsi="Calibri" w:cs="Arial"/>
          <w:color w:val="000000"/>
        </w:rPr>
      </w:pPr>
      <w:r w:rsidRPr="001316BC">
        <w:rPr>
          <w:rFonts w:ascii="Calibri" w:hAnsi="Calibri" w:cs="Arial"/>
          <w:color w:val="000000"/>
        </w:rPr>
        <w:t>2.</w:t>
      </w:r>
      <w:r w:rsidRPr="001316BC">
        <w:rPr>
          <w:rFonts w:ascii="Calibri" w:hAnsi="Calibri" w:cs="Arial"/>
          <w:color w:val="000000"/>
        </w:rPr>
        <w:tab/>
        <w:t xml:space="preserve">Section </w:t>
      </w:r>
      <w:r>
        <w:rPr>
          <w:rFonts w:ascii="Calibri" w:hAnsi="Calibri" w:cs="Arial"/>
          <w:color w:val="000000"/>
        </w:rPr>
        <w:t>74</w:t>
      </w:r>
      <w:r w:rsidRPr="001316BC">
        <w:rPr>
          <w:rFonts w:ascii="Calibri" w:hAnsi="Calibri" w:cs="Arial"/>
          <w:color w:val="000000"/>
        </w:rPr>
        <w:t xml:space="preserve"> of the Act provides that if an employer is a member of two or more groups, all the members of those groups will constitute one group.  </w:t>
      </w:r>
    </w:p>
    <w:p w:rsidR="00910729" w:rsidRPr="00910729" w:rsidRDefault="00910729" w:rsidP="00910729">
      <w:pPr>
        <w:pStyle w:val="PlainText"/>
        <w:keepNext/>
        <w:spacing w:before="120" w:after="120"/>
        <w:ind w:left="1701" w:hanging="567"/>
        <w:jc w:val="both"/>
        <w:rPr>
          <w:rFonts w:ascii="Calibri" w:hAnsi="Calibri" w:cs="Arial"/>
        </w:rPr>
      </w:pPr>
      <w:r w:rsidRPr="001316BC">
        <w:rPr>
          <w:rFonts w:ascii="Calibri" w:hAnsi="Calibri" w:cs="Arial"/>
          <w:color w:val="000000"/>
        </w:rPr>
        <w:t>3.</w:t>
      </w:r>
      <w:r w:rsidRPr="001316BC">
        <w:rPr>
          <w:rFonts w:ascii="Calibri" w:hAnsi="Calibri" w:cs="Arial"/>
          <w:color w:val="000000"/>
        </w:rPr>
        <w:tab/>
      </w:r>
      <w:r w:rsidRPr="00910729">
        <w:rPr>
          <w:rFonts w:ascii="Calibri" w:hAnsi="Calibri" w:cs="Arial"/>
        </w:rPr>
        <w:t>There are situations in which a number o</w:t>
      </w:r>
      <w:r w:rsidR="0098028C">
        <w:rPr>
          <w:rFonts w:ascii="Calibri" w:hAnsi="Calibri" w:cs="Arial"/>
        </w:rPr>
        <w:t xml:space="preserve">f professional practices (e.g. </w:t>
      </w:r>
      <w:r w:rsidRPr="00910729">
        <w:rPr>
          <w:rFonts w:ascii="Calibri" w:hAnsi="Calibri" w:cs="Arial"/>
        </w:rPr>
        <w:t xml:space="preserve">legal practices, accounting practices, </w:t>
      </w:r>
      <w:proofErr w:type="gramStart"/>
      <w:r w:rsidRPr="00910729">
        <w:rPr>
          <w:rFonts w:ascii="Calibri" w:hAnsi="Calibri" w:cs="Arial"/>
        </w:rPr>
        <w:t>medical</w:t>
      </w:r>
      <w:proofErr w:type="gramEnd"/>
      <w:r w:rsidRPr="00910729">
        <w:rPr>
          <w:rFonts w:ascii="Calibri" w:hAnsi="Calibri" w:cs="Arial"/>
        </w:rPr>
        <w:t xml:space="preserve"> practices) operate from the same premises and share the services of an administrative service business.  Under these circumstances, each of the profe</w:t>
      </w:r>
      <w:r w:rsidRPr="00910729">
        <w:rPr>
          <w:rFonts w:ascii="Calibri" w:hAnsi="Calibri" w:cs="Arial"/>
        </w:rPr>
        <w:t>s</w:t>
      </w:r>
      <w:r w:rsidRPr="00910729">
        <w:rPr>
          <w:rFonts w:ascii="Calibri" w:hAnsi="Calibri" w:cs="Arial"/>
        </w:rPr>
        <w:t xml:space="preserve">sional practices may be grouped with the service business under section 71 of </w:t>
      </w:r>
      <w:r w:rsidR="0098028C">
        <w:rPr>
          <w:rFonts w:ascii="Calibri" w:hAnsi="Calibri" w:cs="Arial"/>
        </w:rPr>
        <w:t xml:space="preserve">the Act. </w:t>
      </w:r>
      <w:r w:rsidRPr="00910729">
        <w:rPr>
          <w:rFonts w:ascii="Calibri" w:hAnsi="Calibri" w:cs="Arial"/>
        </w:rPr>
        <w:t xml:space="preserve">As a consequence, all of the businesses could be treated as one group under section 74 of the Act.  </w:t>
      </w:r>
    </w:p>
    <w:p w:rsidR="00910729" w:rsidRPr="00910729" w:rsidRDefault="00910729" w:rsidP="00910729">
      <w:pPr>
        <w:pStyle w:val="Default"/>
        <w:ind w:left="1701" w:hanging="567"/>
      </w:pPr>
      <w:r w:rsidRPr="001316BC">
        <w:rPr>
          <w:rFonts w:ascii="Calibri" w:hAnsi="Calibri"/>
        </w:rPr>
        <w:t>4.</w:t>
      </w:r>
      <w:r w:rsidRPr="001316BC">
        <w:rPr>
          <w:rFonts w:ascii="Calibri" w:hAnsi="Calibri"/>
        </w:rPr>
        <w:tab/>
        <w:t>The purpose of this circular is to clarify the circumstances in which professional practices and administrative service businesses are regarded as a group</w:t>
      </w:r>
      <w:r>
        <w:rPr>
          <w:rFonts w:ascii="Calibri" w:hAnsi="Calibri"/>
        </w:rPr>
        <w:t>.</w:t>
      </w:r>
    </w:p>
    <w:p w:rsidR="00F44A8D" w:rsidRPr="00DD5009" w:rsidRDefault="00F44A8D" w:rsidP="00DD5009">
      <w:pPr>
        <w:pStyle w:val="Heading1"/>
        <w:spacing w:before="60" w:line="240" w:lineRule="auto"/>
        <w:ind w:left="1134" w:firstLine="0"/>
        <w:jc w:val="both"/>
        <w:rPr>
          <w:rFonts w:asciiTheme="minorHAnsi" w:hAnsiTheme="minorHAnsi"/>
        </w:rPr>
      </w:pPr>
      <w:r w:rsidRPr="00DD5009">
        <w:rPr>
          <w:rFonts w:asciiTheme="minorHAnsi" w:hAnsiTheme="minorHAnsi"/>
        </w:rPr>
        <w:t>Circular</w:t>
      </w:r>
    </w:p>
    <w:p w:rsidR="00910729" w:rsidRDefault="00910729" w:rsidP="00910729">
      <w:pPr>
        <w:ind w:left="1134"/>
        <w:outlineLvl w:val="1"/>
        <w:rPr>
          <w:rFonts w:cs="Arial"/>
          <w:b/>
        </w:rPr>
      </w:pPr>
      <w:r w:rsidRPr="00910729">
        <w:rPr>
          <w:rFonts w:cs="Arial"/>
          <w:b/>
        </w:rPr>
        <w:t>Grouping of Professional Practices and Administrative Businesses</w:t>
      </w:r>
    </w:p>
    <w:p w:rsidR="00F44A8D" w:rsidRPr="00910729" w:rsidRDefault="00910729" w:rsidP="00910729">
      <w:pPr>
        <w:pStyle w:val="Default"/>
        <w:spacing w:before="120" w:after="120"/>
        <w:ind w:left="1701" w:hanging="567"/>
        <w:rPr>
          <w:rFonts w:ascii="Calibri" w:hAnsi="Calibri"/>
        </w:rPr>
      </w:pPr>
      <w:r w:rsidRPr="00E6531D">
        <w:rPr>
          <w:rFonts w:ascii="Calibri" w:hAnsi="Calibri"/>
        </w:rPr>
        <w:t>5.</w:t>
      </w:r>
      <w:r w:rsidRPr="00E6531D">
        <w:rPr>
          <w:rFonts w:ascii="Calibri" w:hAnsi="Calibri"/>
        </w:rPr>
        <w:tab/>
        <w:t>An administrative service business set up purely to provide administrative services to a pr</w:t>
      </w:r>
      <w:r w:rsidRPr="00E6531D">
        <w:rPr>
          <w:rFonts w:ascii="Calibri" w:hAnsi="Calibri"/>
        </w:rPr>
        <w:t>o</w:t>
      </w:r>
      <w:r w:rsidRPr="00E6531D">
        <w:rPr>
          <w:rFonts w:ascii="Calibri" w:hAnsi="Calibri"/>
        </w:rPr>
        <w:t xml:space="preserve">fessional practice is routinely grouped with the professional practice under section </w:t>
      </w:r>
      <w:r>
        <w:rPr>
          <w:rFonts w:ascii="Calibri" w:hAnsi="Calibri"/>
        </w:rPr>
        <w:t>71</w:t>
      </w:r>
      <w:r w:rsidRPr="00E6531D">
        <w:rPr>
          <w:rFonts w:ascii="Calibri" w:hAnsi="Calibri"/>
        </w:rPr>
        <w:t xml:space="preserve"> of the Act.  However, the approach is less stringent in cases where several professional practices use the services of a single administrative business.</w:t>
      </w:r>
    </w:p>
    <w:p w:rsidR="00F44A8D" w:rsidRDefault="00F44A8D" w:rsidP="00AD4741">
      <w:pPr>
        <w:pStyle w:val="Heading2"/>
        <w:ind w:left="1701"/>
        <w:jc w:val="both"/>
        <w:sectPr w:rsidR="00F44A8D" w:rsidSect="00765EA5">
          <w:headerReference w:type="default" r:id="rId9"/>
          <w:footerReference w:type="default" r:id="rId10"/>
          <w:footerReference w:type="first" r:id="rId11"/>
          <w:pgSz w:w="11910" w:h="16840" w:code="9"/>
          <w:pgMar w:top="-9" w:right="1137" w:bottom="1100" w:left="0" w:header="0" w:footer="318" w:gutter="0"/>
          <w:cols w:space="720"/>
          <w:titlePg/>
          <w:docGrid w:linePitch="326"/>
        </w:sectPr>
      </w:pPr>
    </w:p>
    <w:p w:rsidR="00910729" w:rsidRPr="00E6531D" w:rsidRDefault="00910729" w:rsidP="00910729">
      <w:pPr>
        <w:pStyle w:val="Default"/>
        <w:spacing w:before="120" w:after="120"/>
        <w:ind w:left="1418" w:hanging="567"/>
        <w:jc w:val="both"/>
        <w:rPr>
          <w:rFonts w:ascii="Calibri" w:hAnsi="Calibri"/>
        </w:rPr>
      </w:pPr>
      <w:r w:rsidRPr="00E6531D">
        <w:rPr>
          <w:rFonts w:ascii="Calibri" w:hAnsi="Calibri"/>
        </w:rPr>
        <w:lastRenderedPageBreak/>
        <w:t>6.</w:t>
      </w:r>
      <w:r w:rsidRPr="00E6531D">
        <w:rPr>
          <w:rFonts w:ascii="Calibri" w:hAnsi="Calibri"/>
        </w:rPr>
        <w:tab/>
        <w:t>Where two or more professional practices use the services of one administrative</w:t>
      </w:r>
      <w:r w:rsidRPr="00E6531D" w:rsidDel="00B74FF4">
        <w:rPr>
          <w:rFonts w:ascii="Calibri" w:hAnsi="Calibri"/>
        </w:rPr>
        <w:t xml:space="preserve"> </w:t>
      </w:r>
      <w:r w:rsidRPr="00E6531D">
        <w:rPr>
          <w:rFonts w:ascii="Calibri" w:hAnsi="Calibri"/>
        </w:rPr>
        <w:t xml:space="preserve">business, the Commissioner for </w:t>
      </w:r>
      <w:smartTag w:uri="urn:schemas-microsoft-com:office:smarttags" w:element="PersonName">
        <w:r w:rsidRPr="00E6531D">
          <w:rPr>
            <w:rFonts w:ascii="Calibri" w:hAnsi="Calibri"/>
          </w:rPr>
          <w:t>ACT Revenue</w:t>
        </w:r>
      </w:smartTag>
      <w:r w:rsidRPr="00E6531D">
        <w:rPr>
          <w:rFonts w:ascii="Calibri" w:hAnsi="Calibri"/>
        </w:rPr>
        <w:t xml:space="preserve"> will generally exercise the discretion provided under se</w:t>
      </w:r>
      <w:r w:rsidRPr="00E6531D">
        <w:rPr>
          <w:rFonts w:ascii="Calibri" w:hAnsi="Calibri"/>
        </w:rPr>
        <w:t>c</w:t>
      </w:r>
      <w:r w:rsidRPr="00E6531D">
        <w:rPr>
          <w:rFonts w:ascii="Calibri" w:hAnsi="Calibri"/>
        </w:rPr>
        <w:t xml:space="preserve">tion </w:t>
      </w:r>
      <w:r>
        <w:rPr>
          <w:rFonts w:ascii="Calibri" w:hAnsi="Calibri"/>
        </w:rPr>
        <w:t>79</w:t>
      </w:r>
      <w:r w:rsidRPr="00E6531D">
        <w:rPr>
          <w:rFonts w:ascii="Calibri" w:hAnsi="Calibri"/>
        </w:rPr>
        <w:t xml:space="preserve"> of the Act not to group all the professional practices with the administrative business if all of the following conditions are met:</w:t>
      </w:r>
    </w:p>
    <w:p w:rsidR="00910729" w:rsidRPr="001316BC" w:rsidRDefault="00910729" w:rsidP="00910729">
      <w:pPr>
        <w:pStyle w:val="PlainText"/>
        <w:numPr>
          <w:ilvl w:val="0"/>
          <w:numId w:val="5"/>
        </w:numPr>
        <w:tabs>
          <w:tab w:val="clear" w:pos="1440"/>
        </w:tabs>
        <w:spacing w:before="120" w:after="120"/>
        <w:ind w:left="2410" w:hanging="709"/>
        <w:jc w:val="both"/>
        <w:rPr>
          <w:rFonts w:ascii="Calibri" w:hAnsi="Calibri"/>
        </w:rPr>
      </w:pPr>
      <w:r w:rsidRPr="001316BC">
        <w:rPr>
          <w:rFonts w:ascii="Calibri" w:hAnsi="Calibri"/>
        </w:rPr>
        <w:t>none of the persons who own or operate the professional practices has a propri</w:t>
      </w:r>
      <w:r w:rsidRPr="001316BC">
        <w:rPr>
          <w:rFonts w:ascii="Calibri" w:hAnsi="Calibri"/>
        </w:rPr>
        <w:t>e</w:t>
      </w:r>
      <w:r w:rsidRPr="001316BC">
        <w:rPr>
          <w:rFonts w:ascii="Calibri" w:hAnsi="Calibri"/>
        </w:rPr>
        <w:t>tary interest, whether directly or indirectly, in any of the other professional pra</w:t>
      </w:r>
      <w:r w:rsidRPr="001316BC">
        <w:rPr>
          <w:rFonts w:ascii="Calibri" w:hAnsi="Calibri"/>
        </w:rPr>
        <w:t>c</w:t>
      </w:r>
      <w:r w:rsidRPr="001316BC">
        <w:rPr>
          <w:rFonts w:ascii="Calibri" w:hAnsi="Calibri"/>
        </w:rPr>
        <w:t xml:space="preserve">tices; </w:t>
      </w:r>
    </w:p>
    <w:p w:rsidR="00910729" w:rsidRPr="001316BC" w:rsidRDefault="00910729" w:rsidP="00910729">
      <w:pPr>
        <w:pStyle w:val="Default"/>
        <w:numPr>
          <w:ilvl w:val="0"/>
          <w:numId w:val="5"/>
        </w:numPr>
        <w:tabs>
          <w:tab w:val="clear" w:pos="1440"/>
        </w:tabs>
        <w:spacing w:before="120" w:after="120"/>
        <w:ind w:left="2410" w:hanging="709"/>
        <w:jc w:val="both"/>
        <w:rPr>
          <w:rFonts w:ascii="Calibri" w:hAnsi="Calibri" w:cs="Times New Roman"/>
          <w:color w:val="auto"/>
        </w:rPr>
      </w:pPr>
      <w:proofErr w:type="gramStart"/>
      <w:r w:rsidRPr="001316BC">
        <w:rPr>
          <w:rFonts w:ascii="Calibri" w:hAnsi="Calibri" w:cs="Times New Roman"/>
          <w:color w:val="auto"/>
        </w:rPr>
        <w:t>the</w:t>
      </w:r>
      <w:proofErr w:type="gramEnd"/>
      <w:r w:rsidRPr="001316BC">
        <w:rPr>
          <w:rFonts w:ascii="Calibri" w:hAnsi="Calibri" w:cs="Times New Roman"/>
          <w:color w:val="auto"/>
        </w:rPr>
        <w:t xml:space="preserve"> professional practices are carried on independently of, and unconnected with, each other (i.e.  there is no significant financial interdependence and/or comme</w:t>
      </w:r>
      <w:r w:rsidRPr="001316BC">
        <w:rPr>
          <w:rFonts w:ascii="Calibri" w:hAnsi="Calibri" w:cs="Times New Roman"/>
          <w:color w:val="auto"/>
        </w:rPr>
        <w:t>r</w:t>
      </w:r>
      <w:r w:rsidRPr="001316BC">
        <w:rPr>
          <w:rFonts w:ascii="Calibri" w:hAnsi="Calibri" w:cs="Times New Roman"/>
          <w:color w:val="auto"/>
        </w:rPr>
        <w:t xml:space="preserve">cial transactions between the professional practices and each professional practice is managed separately); </w:t>
      </w:r>
    </w:p>
    <w:p w:rsidR="00910729" w:rsidRPr="001316BC" w:rsidRDefault="00910729" w:rsidP="00910729">
      <w:pPr>
        <w:pStyle w:val="Default"/>
        <w:numPr>
          <w:ilvl w:val="0"/>
          <w:numId w:val="5"/>
        </w:numPr>
        <w:tabs>
          <w:tab w:val="clear" w:pos="1440"/>
        </w:tabs>
        <w:spacing w:before="120" w:after="120"/>
        <w:ind w:left="2410" w:hanging="709"/>
        <w:jc w:val="both"/>
        <w:rPr>
          <w:rFonts w:ascii="Calibri" w:hAnsi="Calibri" w:cs="Times New Roman"/>
          <w:color w:val="auto"/>
        </w:rPr>
      </w:pPr>
      <w:r w:rsidRPr="001316BC">
        <w:rPr>
          <w:rFonts w:ascii="Calibri" w:hAnsi="Calibri" w:cs="Times New Roman"/>
          <w:color w:val="auto"/>
        </w:rPr>
        <w:t>none of the persons who own or operate the professional practices has a contro</w:t>
      </w:r>
      <w:r w:rsidRPr="001316BC">
        <w:rPr>
          <w:rFonts w:ascii="Calibri" w:hAnsi="Calibri" w:cs="Times New Roman"/>
          <w:color w:val="auto"/>
        </w:rPr>
        <w:t>l</w:t>
      </w:r>
      <w:r w:rsidRPr="001316BC">
        <w:rPr>
          <w:rFonts w:ascii="Calibri" w:hAnsi="Calibri" w:cs="Times New Roman"/>
          <w:color w:val="auto"/>
        </w:rPr>
        <w:t xml:space="preserve">ling interest (as defined in sections </w:t>
      </w:r>
      <w:r>
        <w:rPr>
          <w:rFonts w:ascii="Calibri" w:hAnsi="Calibri" w:cs="Times New Roman"/>
          <w:color w:val="auto"/>
        </w:rPr>
        <w:t>72</w:t>
      </w:r>
      <w:r w:rsidRPr="001316BC">
        <w:rPr>
          <w:rFonts w:ascii="Calibri" w:hAnsi="Calibri" w:cs="Times New Roman"/>
          <w:color w:val="auto"/>
        </w:rPr>
        <w:t xml:space="preserve"> and </w:t>
      </w:r>
      <w:r>
        <w:rPr>
          <w:rFonts w:ascii="Calibri" w:hAnsi="Calibri" w:cs="Times New Roman"/>
          <w:color w:val="auto"/>
        </w:rPr>
        <w:t>73</w:t>
      </w:r>
      <w:r w:rsidRPr="001316BC">
        <w:rPr>
          <w:rFonts w:ascii="Calibri" w:hAnsi="Calibri" w:cs="Times New Roman"/>
          <w:color w:val="auto"/>
        </w:rPr>
        <w:t xml:space="preserve"> of the Act), in their own right, in the administrative services business; </w:t>
      </w:r>
    </w:p>
    <w:p w:rsidR="00910729" w:rsidRPr="001316BC" w:rsidRDefault="00910729" w:rsidP="00910729">
      <w:pPr>
        <w:pStyle w:val="Default"/>
        <w:numPr>
          <w:ilvl w:val="0"/>
          <w:numId w:val="5"/>
        </w:numPr>
        <w:tabs>
          <w:tab w:val="clear" w:pos="1440"/>
        </w:tabs>
        <w:spacing w:before="120" w:after="120"/>
        <w:ind w:left="2410" w:hanging="709"/>
        <w:jc w:val="both"/>
        <w:rPr>
          <w:rFonts w:ascii="Calibri" w:hAnsi="Calibri" w:cs="Times New Roman"/>
          <w:color w:val="auto"/>
        </w:rPr>
      </w:pPr>
      <w:r w:rsidRPr="001316BC">
        <w:rPr>
          <w:rFonts w:ascii="Calibri" w:hAnsi="Calibri" w:cs="Times New Roman"/>
          <w:color w:val="auto"/>
        </w:rPr>
        <w:t xml:space="preserve">the administrative services business does not derive more than 60 per cent of its income from one professional practice; and </w:t>
      </w:r>
    </w:p>
    <w:p w:rsidR="00910729" w:rsidRPr="001316BC" w:rsidRDefault="00910729" w:rsidP="00910729">
      <w:pPr>
        <w:pStyle w:val="Default"/>
        <w:numPr>
          <w:ilvl w:val="0"/>
          <w:numId w:val="5"/>
        </w:numPr>
        <w:tabs>
          <w:tab w:val="clear" w:pos="1440"/>
        </w:tabs>
        <w:spacing w:before="120" w:after="120"/>
        <w:ind w:left="2410" w:hanging="709"/>
        <w:jc w:val="both"/>
        <w:rPr>
          <w:rFonts w:ascii="Calibri" w:hAnsi="Calibri" w:cs="Times New Roman"/>
          <w:color w:val="auto"/>
        </w:rPr>
      </w:pPr>
      <w:proofErr w:type="gramStart"/>
      <w:r w:rsidRPr="001316BC">
        <w:rPr>
          <w:rFonts w:ascii="Calibri" w:hAnsi="Calibri" w:cs="Times New Roman"/>
          <w:color w:val="auto"/>
        </w:rPr>
        <w:t>there</w:t>
      </w:r>
      <w:proofErr w:type="gramEnd"/>
      <w:r w:rsidRPr="001316BC">
        <w:rPr>
          <w:rFonts w:ascii="Calibri" w:hAnsi="Calibri" w:cs="Times New Roman"/>
          <w:color w:val="auto"/>
        </w:rPr>
        <w:t xml:space="preserve"> is no suggestion that such a structure is designed to avoid payroll tax.</w:t>
      </w:r>
      <w:r>
        <w:rPr>
          <w:rFonts w:ascii="Calibri" w:hAnsi="Calibri" w:cs="Times New Roman"/>
          <w:color w:val="auto"/>
        </w:rPr>
        <w:t xml:space="preserve"> </w:t>
      </w:r>
    </w:p>
    <w:p w:rsidR="00910729" w:rsidRPr="001316BC" w:rsidRDefault="00910729" w:rsidP="00910729">
      <w:pPr>
        <w:pStyle w:val="Default"/>
        <w:spacing w:before="120" w:after="120"/>
        <w:ind w:left="1418" w:hanging="567"/>
        <w:jc w:val="both"/>
        <w:rPr>
          <w:rFonts w:ascii="Calibri" w:hAnsi="Calibri"/>
        </w:rPr>
      </w:pPr>
      <w:r w:rsidRPr="001316BC">
        <w:rPr>
          <w:rFonts w:ascii="Calibri" w:hAnsi="Calibri" w:cs="Times New Roman"/>
          <w:color w:val="auto"/>
        </w:rPr>
        <w:t>7.</w:t>
      </w:r>
      <w:r w:rsidRPr="001316BC">
        <w:rPr>
          <w:rFonts w:ascii="Calibri" w:hAnsi="Calibri" w:cs="Times New Roman"/>
          <w:color w:val="auto"/>
        </w:rPr>
        <w:tab/>
        <w:t>If any of the above conditions are not met, and an employer believes that it should not be grouped, the employer may apply to the Commissioner for ACT Revenue for a determination.</w:t>
      </w:r>
    </w:p>
    <w:p w:rsidR="00310E54" w:rsidRDefault="00310E54" w:rsidP="00910729">
      <w:pPr>
        <w:adjustRightInd w:val="0"/>
        <w:spacing w:after="120"/>
        <w:ind w:left="851"/>
        <w:jc w:val="both"/>
        <w:rPr>
          <w:rFonts w:cs="Arial"/>
          <w:bCs/>
        </w:rPr>
      </w:pPr>
    </w:p>
    <w:p w:rsidR="00F44A8D" w:rsidRDefault="00F44A8D" w:rsidP="00910729">
      <w:pPr>
        <w:adjustRightInd w:val="0"/>
        <w:ind w:left="851"/>
        <w:jc w:val="both"/>
        <w:rPr>
          <w:rFonts w:cs="Arial"/>
          <w:bCs/>
        </w:rPr>
      </w:pPr>
      <w:r>
        <w:rPr>
          <w:rFonts w:cs="Arial"/>
          <w:bCs/>
        </w:rPr>
        <w:t>SIGNED</w:t>
      </w:r>
    </w:p>
    <w:p w:rsidR="00F44A8D" w:rsidRPr="00564BD6" w:rsidRDefault="00F44A8D" w:rsidP="00910729">
      <w:pPr>
        <w:adjustRightInd w:val="0"/>
        <w:ind w:left="851"/>
        <w:jc w:val="both"/>
        <w:rPr>
          <w:rFonts w:cs="Arial"/>
          <w:bCs/>
        </w:rPr>
      </w:pPr>
    </w:p>
    <w:p w:rsidR="00F44A8D" w:rsidRPr="00564BD6" w:rsidRDefault="00DD5009" w:rsidP="00910729">
      <w:pPr>
        <w:adjustRightInd w:val="0"/>
        <w:ind w:left="851"/>
        <w:jc w:val="both"/>
        <w:rPr>
          <w:rFonts w:cs="Arial"/>
          <w:bCs/>
        </w:rPr>
      </w:pPr>
      <w:r>
        <w:rPr>
          <w:rFonts w:cs="Arial"/>
          <w:bCs/>
        </w:rPr>
        <w:t>David Read</w:t>
      </w:r>
    </w:p>
    <w:p w:rsidR="00F44A8D" w:rsidRPr="00564BD6" w:rsidRDefault="00F44A8D" w:rsidP="00910729">
      <w:pPr>
        <w:adjustRightInd w:val="0"/>
        <w:ind w:left="851"/>
        <w:jc w:val="both"/>
        <w:rPr>
          <w:rFonts w:cs="Arial"/>
        </w:rPr>
      </w:pPr>
      <w:r w:rsidRPr="00564BD6">
        <w:rPr>
          <w:rFonts w:cs="Arial"/>
        </w:rPr>
        <w:t>Commissioner for ACT Revenue</w:t>
      </w:r>
    </w:p>
    <w:p w:rsidR="00F44A8D" w:rsidRPr="00310E54" w:rsidRDefault="00DD5009" w:rsidP="00910729">
      <w:pPr>
        <w:adjustRightInd w:val="0"/>
        <w:ind w:left="851"/>
        <w:jc w:val="both"/>
        <w:rPr>
          <w:rFonts w:cs="Arial"/>
          <w:bCs/>
        </w:rPr>
      </w:pPr>
      <w:r>
        <w:rPr>
          <w:rFonts w:cs="Arial"/>
          <w:bCs/>
        </w:rPr>
        <w:t>30 June 2011</w:t>
      </w:r>
    </w:p>
    <w:sectPr w:rsidR="00F44A8D" w:rsidRPr="00310E54" w:rsidSect="00DD5009">
      <w:pgSz w:w="11910" w:h="16840" w:code="9"/>
      <w:pgMar w:top="1100" w:right="1137" w:bottom="1100" w:left="23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19A" w:rsidRDefault="00D3419A" w:rsidP="005B0828">
      <w:r>
        <w:separator/>
      </w:r>
    </w:p>
  </w:endnote>
  <w:endnote w:type="continuationSeparator" w:id="0">
    <w:p w:rsidR="00D3419A" w:rsidRDefault="00D3419A" w:rsidP="005B0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9A" w:rsidRDefault="00D3419A">
    <w:pPr>
      <w:pStyle w:val="BodyText"/>
      <w:overflowPunct w:val="0"/>
      <w:spacing w:line="12" w:lineRule="auto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9A" w:rsidRPr="00F44A8D" w:rsidRDefault="00D3419A" w:rsidP="00F44A8D">
    <w:pPr>
      <w:jc w:val="center"/>
    </w:pPr>
    <w:r w:rsidRPr="00BA070A">
      <w:rPr>
        <w:b/>
        <w:sz w:val="18"/>
        <w:szCs w:val="18"/>
        <w:lang w:val="it-IT"/>
      </w:rPr>
      <w:t xml:space="preserve">PO Box 293, Civic Square ACT 2608  |  phone: 6207 0028  |  </w:t>
    </w:r>
    <w:hyperlink r:id="rId1" w:history="1">
      <w:r w:rsidRPr="00BA070A">
        <w:rPr>
          <w:rStyle w:val="Hyperlink"/>
          <w:b/>
          <w:sz w:val="18"/>
          <w:szCs w:val="18"/>
          <w:lang w:val="it-IT"/>
        </w:rPr>
        <w:t>www.revenue.act.gov.au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19A" w:rsidRDefault="00D3419A" w:rsidP="005B0828">
      <w:r w:rsidRPr="005B0828">
        <w:rPr>
          <w:color w:val="000000"/>
        </w:rPr>
        <w:separator/>
      </w:r>
    </w:p>
  </w:footnote>
  <w:footnote w:type="continuationSeparator" w:id="0">
    <w:p w:rsidR="00D3419A" w:rsidRDefault="00D3419A" w:rsidP="005B0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9A" w:rsidRDefault="00D3419A" w:rsidP="00822F9C">
    <w:pPr>
      <w:pStyle w:val="Header"/>
      <w:tabs>
        <w:tab w:val="clear" w:pos="4513"/>
        <w:tab w:val="clear" w:pos="9026"/>
      </w:tabs>
      <w:ind w:left="-70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F2B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874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AE0F6E"/>
    <w:multiLevelType w:val="hybridMultilevel"/>
    <w:tmpl w:val="5D9233E0"/>
    <w:lvl w:ilvl="0" w:tplc="E1565F5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3845B3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611453"/>
    <w:multiLevelType w:val="hybridMultilevel"/>
    <w:tmpl w:val="E3F008CA"/>
    <w:lvl w:ilvl="0" w:tplc="E1565F5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B0828"/>
    <w:rsid w:val="000D649E"/>
    <w:rsid w:val="000D64C3"/>
    <w:rsid w:val="00193116"/>
    <w:rsid w:val="00210C1D"/>
    <w:rsid w:val="002240B1"/>
    <w:rsid w:val="00244887"/>
    <w:rsid w:val="00275FAE"/>
    <w:rsid w:val="00310E54"/>
    <w:rsid w:val="00391CB7"/>
    <w:rsid w:val="00395290"/>
    <w:rsid w:val="005562AD"/>
    <w:rsid w:val="005B0828"/>
    <w:rsid w:val="005B0878"/>
    <w:rsid w:val="005D4557"/>
    <w:rsid w:val="006B0ECA"/>
    <w:rsid w:val="006B2035"/>
    <w:rsid w:val="00765EA5"/>
    <w:rsid w:val="0076715B"/>
    <w:rsid w:val="00822F9C"/>
    <w:rsid w:val="008B1CDE"/>
    <w:rsid w:val="00910729"/>
    <w:rsid w:val="0098028C"/>
    <w:rsid w:val="00A812EA"/>
    <w:rsid w:val="00AD4741"/>
    <w:rsid w:val="00AF7801"/>
    <w:rsid w:val="00BE0B6D"/>
    <w:rsid w:val="00BF64D2"/>
    <w:rsid w:val="00C82405"/>
    <w:rsid w:val="00C8554F"/>
    <w:rsid w:val="00CD0ACD"/>
    <w:rsid w:val="00CD6913"/>
    <w:rsid w:val="00CE6253"/>
    <w:rsid w:val="00D3419A"/>
    <w:rsid w:val="00D908F9"/>
    <w:rsid w:val="00DA0B26"/>
    <w:rsid w:val="00DA6ED5"/>
    <w:rsid w:val="00DD5009"/>
    <w:rsid w:val="00F4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uiPriority w:val="99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5FAE"/>
    <w:rPr>
      <w:color w:val="004899"/>
      <w:u w:val="single"/>
    </w:rPr>
  </w:style>
  <w:style w:type="character" w:styleId="Strong">
    <w:name w:val="Strong"/>
    <w:basedOn w:val="DefaultParagraphFont"/>
    <w:uiPriority w:val="22"/>
    <w:qFormat/>
    <w:rsid w:val="00275F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5FAE"/>
    <w:pPr>
      <w:widowControl/>
      <w:suppressAutoHyphens w:val="0"/>
      <w:autoSpaceDE/>
      <w:autoSpaceDN/>
      <w:spacing w:before="168" w:after="168"/>
      <w:textAlignment w:val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75FAE"/>
    <w:rPr>
      <w:color w:val="800080" w:themeColor="followedHyperlink"/>
      <w:u w:val="single"/>
    </w:rPr>
  </w:style>
  <w:style w:type="paragraph" w:customStyle="1" w:styleId="Default">
    <w:name w:val="Default"/>
    <w:uiPriority w:val="99"/>
    <w:rsid w:val="00910729"/>
    <w:pPr>
      <w:autoSpaceDE w:val="0"/>
      <w:adjustRightInd w:val="0"/>
      <w:spacing w:after="0" w:line="240" w:lineRule="auto"/>
      <w:textAlignment w:val="auto"/>
    </w:pPr>
    <w:rPr>
      <w:rFonts w:ascii="Arial" w:eastAsia="Times" w:hAnsi="Arial" w:cs="Arial"/>
      <w:color w:val="000000"/>
      <w:sz w:val="24"/>
      <w:szCs w:val="24"/>
    </w:rPr>
  </w:style>
  <w:style w:type="paragraph" w:styleId="PlainText">
    <w:name w:val="Plain Text"/>
    <w:basedOn w:val="Default"/>
    <w:next w:val="Default"/>
    <w:link w:val="PlainTextChar"/>
    <w:uiPriority w:val="99"/>
    <w:rsid w:val="00910729"/>
    <w:pPr>
      <w:spacing w:before="100" w:after="100"/>
    </w:pPr>
    <w:rPr>
      <w:rFonts w:cs="Times New Roman"/>
      <w:color w:val="auto"/>
    </w:rPr>
  </w:style>
  <w:style w:type="character" w:customStyle="1" w:styleId="PlainTextChar">
    <w:name w:val="Plain Text Char"/>
    <w:basedOn w:val="DefaultParagraphFont"/>
    <w:link w:val="PlainText"/>
    <w:uiPriority w:val="99"/>
    <w:rsid w:val="00910729"/>
    <w:rPr>
      <w:rFonts w:ascii="Arial" w:eastAsia="Times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979">
                  <w:marLeft w:val="0"/>
                  <w:marRight w:val="0"/>
                  <w:marTop w:val="0"/>
                  <w:marBottom w:val="136"/>
                  <w:divBdr>
                    <w:top w:val="single" w:sz="6" w:space="5" w:color="143351"/>
                    <w:left w:val="single" w:sz="6" w:space="10" w:color="143351"/>
                    <w:bottom w:val="single" w:sz="6" w:space="5" w:color="143351"/>
                    <w:right w:val="single" w:sz="6" w:space="10" w:color="143351"/>
                  </w:divBdr>
                  <w:divsChild>
                    <w:div w:id="20629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enue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80F1D-274A-4057-9F86-9CA4C41C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Zilic</dc:creator>
  <cp:lastModifiedBy>Tereza Zilic</cp:lastModifiedBy>
  <cp:revision>4</cp:revision>
  <cp:lastPrinted>2017-05-08T23:51:00Z</cp:lastPrinted>
  <dcterms:created xsi:type="dcterms:W3CDTF">2017-05-11T04:30:00Z</dcterms:created>
  <dcterms:modified xsi:type="dcterms:W3CDTF">2017-05-11T05:17:00Z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