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6929986"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05C5671A" wp14:editId="0110FCA8">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41683"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5671A"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14:paraId="04841683"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3B972F4" wp14:editId="7C7BBDC6">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FD17"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03B972F4"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14:paraId="3D0BFD17"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322C570A" wp14:editId="6A13E9D4">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p>
    <w:p w14:paraId="51188ED5" w14:textId="77777777" w:rsidR="006B0ECA" w:rsidRDefault="006B0ECA" w:rsidP="00F128F0">
      <w:pPr>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F65650" w:rsidRPr="005F709B" w14:paraId="5FF076CA" w14:textId="77777777" w:rsidTr="00F65650">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362C6376" w14:textId="77777777" w:rsidR="00F65650" w:rsidRPr="005A1A9B" w:rsidRDefault="00F65650" w:rsidP="005B49BD">
            <w:pPr>
              <w:ind w:left="34"/>
              <w:rPr>
                <w:rFonts w:asciiTheme="minorHAnsi" w:eastAsiaTheme="minorEastAsia" w:hAnsiTheme="minorHAnsi"/>
                <w:b/>
              </w:rPr>
            </w:pPr>
            <w:r w:rsidRPr="005A1A9B">
              <w:rPr>
                <w:rFonts w:asciiTheme="minorHAnsi" w:eastAsiaTheme="minorEastAsia" w:hAnsiTheme="minorHAnsi"/>
                <w:b/>
              </w:rPr>
              <w:t>REVENUE CIRCULAR DAA018</w:t>
            </w:r>
          </w:p>
        </w:tc>
      </w:tr>
      <w:tr w:rsidR="00F65650" w:rsidRPr="005F709B" w14:paraId="46413A00" w14:textId="77777777" w:rsidTr="00F65650">
        <w:trPr>
          <w:cantSplit/>
        </w:trPr>
        <w:tc>
          <w:tcPr>
            <w:tcW w:w="9273" w:type="dxa"/>
            <w:tcBorders>
              <w:top w:val="single" w:sz="4" w:space="0" w:color="0D0D0D"/>
              <w:left w:val="single" w:sz="4" w:space="0" w:color="0D0D0D"/>
              <w:bottom w:val="single" w:sz="4" w:space="0" w:color="0D0D0D"/>
              <w:right w:val="single" w:sz="4" w:space="0" w:color="0D0D0D"/>
            </w:tcBorders>
          </w:tcPr>
          <w:p w14:paraId="270A03D1" w14:textId="77777777" w:rsidR="00F65650" w:rsidRPr="00DC7663" w:rsidRDefault="00F65650" w:rsidP="005B49BD">
            <w:pPr>
              <w:ind w:left="34"/>
              <w:rPr>
                <w:rFonts w:asciiTheme="minorHAnsi" w:eastAsiaTheme="minorEastAsia" w:hAnsiTheme="minorHAnsi"/>
              </w:rPr>
            </w:pPr>
            <w:r w:rsidRPr="00DC7663">
              <w:rPr>
                <w:rFonts w:asciiTheme="minorHAnsi" w:eastAsiaTheme="minorEastAsia" w:hAnsiTheme="minorHAnsi"/>
              </w:rPr>
              <w:t xml:space="preserve">Barrier Free Model – </w:t>
            </w:r>
            <w:r w:rsidRPr="00DC7663">
              <w:rPr>
                <w:rFonts w:asciiTheme="minorHAnsi" w:eastAsiaTheme="minorEastAsia" w:hAnsiTheme="minorHAnsi"/>
                <w:i/>
              </w:rPr>
              <w:t>Duties Act 1999</w:t>
            </w:r>
          </w:p>
        </w:tc>
      </w:tr>
      <w:tr w:rsidR="00F65650" w:rsidRPr="00ED16F5" w14:paraId="6B6A478E" w14:textId="77777777" w:rsidTr="00F65650">
        <w:trPr>
          <w:cantSplit/>
        </w:trPr>
        <w:tc>
          <w:tcPr>
            <w:tcW w:w="9273" w:type="dxa"/>
            <w:tcBorders>
              <w:top w:val="single" w:sz="4" w:space="0" w:color="0D0D0D"/>
              <w:left w:val="single" w:sz="4" w:space="0" w:color="0D0D0D"/>
              <w:bottom w:val="single" w:sz="4" w:space="0" w:color="0D0D0D"/>
              <w:right w:val="single" w:sz="4" w:space="0" w:color="0D0D0D"/>
            </w:tcBorders>
          </w:tcPr>
          <w:p w14:paraId="4F5ADA01" w14:textId="77777777" w:rsidR="00F65650" w:rsidRPr="00DC7663" w:rsidRDefault="00F65650" w:rsidP="005B49BD">
            <w:pPr>
              <w:ind w:left="34"/>
              <w:rPr>
                <w:rFonts w:asciiTheme="minorHAnsi" w:eastAsiaTheme="minorEastAsia" w:hAnsiTheme="minorHAnsi"/>
              </w:rPr>
            </w:pPr>
            <w:r w:rsidRPr="00DC7663">
              <w:rPr>
                <w:rFonts w:asciiTheme="minorHAnsi" w:eastAsiaTheme="minorEastAsia" w:hAnsiTheme="minorHAnsi"/>
              </w:rPr>
              <w:t xml:space="preserve">Issue Date: </w:t>
            </w:r>
            <w:r w:rsidRPr="007F0BD4">
              <w:rPr>
                <w:rFonts w:asciiTheme="minorHAnsi" w:eastAsiaTheme="minorEastAsia" w:hAnsiTheme="minorHAnsi"/>
              </w:rPr>
              <w:t>18</w:t>
            </w:r>
            <w:r w:rsidRPr="00DC7663">
              <w:rPr>
                <w:rFonts w:asciiTheme="minorHAnsi" w:eastAsiaTheme="minorEastAsia" w:hAnsiTheme="minorHAnsi"/>
              </w:rPr>
              <w:t xml:space="preserve"> September 2017</w:t>
            </w:r>
          </w:p>
        </w:tc>
      </w:tr>
      <w:tr w:rsidR="00F65650" w:rsidRPr="00ED16F5" w14:paraId="50763E9D" w14:textId="77777777" w:rsidTr="00F65650">
        <w:trPr>
          <w:cantSplit/>
        </w:trPr>
        <w:tc>
          <w:tcPr>
            <w:tcW w:w="9273" w:type="dxa"/>
            <w:tcBorders>
              <w:top w:val="single" w:sz="4" w:space="0" w:color="0D0D0D"/>
              <w:left w:val="single" w:sz="4" w:space="0" w:color="0D0D0D"/>
              <w:bottom w:val="single" w:sz="4" w:space="0" w:color="0D0D0D"/>
              <w:right w:val="single" w:sz="4" w:space="0" w:color="0D0D0D"/>
            </w:tcBorders>
          </w:tcPr>
          <w:p w14:paraId="674801B4" w14:textId="77777777" w:rsidR="00F65650" w:rsidRPr="00DC7663" w:rsidRDefault="00F65650" w:rsidP="005B49BD">
            <w:pPr>
              <w:ind w:left="34"/>
              <w:rPr>
                <w:rFonts w:asciiTheme="minorHAnsi" w:eastAsiaTheme="minorEastAsia" w:hAnsiTheme="minorHAnsi"/>
              </w:rPr>
            </w:pPr>
            <w:r w:rsidRPr="00DC7663">
              <w:rPr>
                <w:rFonts w:asciiTheme="minorHAnsi" w:eastAsiaTheme="minorEastAsia" w:hAnsiTheme="minorHAnsi"/>
              </w:rPr>
              <w:t xml:space="preserve">Status: Current – Effective </w:t>
            </w:r>
            <w:r w:rsidRPr="007F0BD4">
              <w:rPr>
                <w:rFonts w:asciiTheme="minorHAnsi" w:eastAsiaTheme="minorEastAsia" w:hAnsiTheme="minorHAnsi"/>
              </w:rPr>
              <w:t>18</w:t>
            </w:r>
            <w:r w:rsidRPr="00DC7663">
              <w:rPr>
                <w:rFonts w:asciiTheme="minorHAnsi" w:eastAsiaTheme="minorEastAsia" w:hAnsiTheme="minorHAnsi"/>
              </w:rPr>
              <w:t xml:space="preserve"> September 2017</w:t>
            </w:r>
          </w:p>
        </w:tc>
      </w:tr>
      <w:tr w:rsidR="00F65650" w:rsidRPr="00ED16F5" w14:paraId="1C106535" w14:textId="77777777" w:rsidTr="00F65650">
        <w:trPr>
          <w:cantSplit/>
        </w:trPr>
        <w:tc>
          <w:tcPr>
            <w:tcW w:w="9273" w:type="dxa"/>
            <w:tcBorders>
              <w:top w:val="single" w:sz="4" w:space="0" w:color="0D0D0D"/>
              <w:left w:val="single" w:sz="4" w:space="0" w:color="0D0D0D"/>
              <w:bottom w:val="single" w:sz="4" w:space="0" w:color="0D0D0D"/>
              <w:right w:val="single" w:sz="4" w:space="0" w:color="0D0D0D"/>
            </w:tcBorders>
          </w:tcPr>
          <w:p w14:paraId="634D0046" w14:textId="77777777" w:rsidR="00F65650" w:rsidRPr="00DC7663" w:rsidRDefault="00F65650" w:rsidP="005B49BD">
            <w:pPr>
              <w:ind w:left="34"/>
              <w:rPr>
                <w:rFonts w:asciiTheme="minorHAnsi" w:eastAsiaTheme="minorEastAsia" w:hAnsiTheme="minorHAnsi"/>
              </w:rPr>
            </w:pPr>
            <w:r w:rsidRPr="00DC7663">
              <w:rPr>
                <w:rFonts w:asciiTheme="minorHAnsi" w:eastAsiaTheme="minorEastAsia" w:hAnsiTheme="minorHAnsi"/>
              </w:rPr>
              <w:t>Previous Circular: N/A</w:t>
            </w:r>
          </w:p>
        </w:tc>
      </w:tr>
    </w:tbl>
    <w:sdt>
      <w:sdtPr>
        <w:rPr>
          <w:rFonts w:ascii="Calibri" w:eastAsia="Times New Roman" w:hAnsi="Calibri" w:cs="Calibri"/>
          <w:b/>
          <w:bCs/>
          <w:color w:val="auto"/>
          <w:sz w:val="24"/>
          <w:szCs w:val="24"/>
          <w:lang w:val="en-AU" w:eastAsia="en-AU"/>
        </w:rPr>
        <w:id w:val="41867018"/>
        <w:docPartObj>
          <w:docPartGallery w:val="Table of Contents"/>
          <w:docPartUnique/>
        </w:docPartObj>
      </w:sdtPr>
      <w:sdtEndPr>
        <w:rPr>
          <w:b w:val="0"/>
          <w:bCs w:val="0"/>
        </w:rPr>
      </w:sdtEndPr>
      <w:sdtContent>
        <w:p w14:paraId="3C076BAF" w14:textId="77777777" w:rsidR="00F65650" w:rsidRPr="00F65650" w:rsidRDefault="00F65650" w:rsidP="00F65650">
          <w:pPr>
            <w:pStyle w:val="TOCHeading"/>
            <w:ind w:left="1134"/>
            <w:rPr>
              <w:rFonts w:ascii="Calibri" w:eastAsia="Times New Roman" w:hAnsi="Calibri" w:cs="Calibri"/>
              <w:b/>
              <w:bCs/>
              <w:color w:val="auto"/>
              <w:sz w:val="28"/>
              <w:szCs w:val="28"/>
              <w:lang w:val="en-AU" w:eastAsia="en-AU"/>
            </w:rPr>
          </w:pPr>
          <w:r w:rsidRPr="00F65650">
            <w:rPr>
              <w:rFonts w:ascii="Calibri" w:eastAsia="Times New Roman" w:hAnsi="Calibri" w:cs="Calibri"/>
              <w:b/>
              <w:bCs/>
              <w:color w:val="auto"/>
              <w:sz w:val="28"/>
              <w:szCs w:val="28"/>
              <w:lang w:val="en-AU" w:eastAsia="en-AU"/>
            </w:rPr>
            <w:t>Contents</w:t>
          </w:r>
        </w:p>
        <w:p w14:paraId="21D7F168" w14:textId="77777777" w:rsidR="00FB0895" w:rsidRDefault="00F65650">
          <w:pPr>
            <w:pStyle w:val="TOC1"/>
            <w:rPr>
              <w:rFonts w:asciiTheme="minorHAnsi" w:eastAsiaTheme="minorEastAsia" w:hAnsiTheme="minorHAnsi" w:cstheme="minorBidi"/>
              <w:noProof/>
              <w:sz w:val="22"/>
              <w:szCs w:val="22"/>
            </w:rPr>
          </w:pPr>
          <w:r w:rsidRPr="005A1A9B">
            <w:rPr>
              <w:noProof/>
            </w:rPr>
            <w:fldChar w:fldCharType="begin"/>
          </w:r>
          <w:r w:rsidRPr="005A1A9B">
            <w:rPr>
              <w:noProof/>
            </w:rPr>
            <w:instrText xml:space="preserve"> TOC \o "1-1" \h \z \u </w:instrText>
          </w:r>
          <w:r w:rsidRPr="005A1A9B">
            <w:rPr>
              <w:noProof/>
            </w:rPr>
            <w:fldChar w:fldCharType="separate"/>
          </w:r>
          <w:hyperlink w:anchor="_Toc492550802" w:history="1">
            <w:r w:rsidR="00FB0895" w:rsidRPr="00A21F0C">
              <w:rPr>
                <w:rStyle w:val="Hyperlink"/>
                <w:noProof/>
              </w:rPr>
              <w:t>Introduction</w:t>
            </w:r>
            <w:r w:rsidR="00FB0895">
              <w:rPr>
                <w:noProof/>
                <w:webHidden/>
              </w:rPr>
              <w:tab/>
            </w:r>
            <w:r w:rsidR="00FB0895">
              <w:rPr>
                <w:noProof/>
                <w:webHidden/>
              </w:rPr>
              <w:fldChar w:fldCharType="begin"/>
            </w:r>
            <w:r w:rsidR="00FB0895">
              <w:rPr>
                <w:noProof/>
                <w:webHidden/>
              </w:rPr>
              <w:instrText xml:space="preserve"> PAGEREF _Toc492550802 \h </w:instrText>
            </w:r>
            <w:r w:rsidR="00FB0895">
              <w:rPr>
                <w:noProof/>
                <w:webHidden/>
              </w:rPr>
            </w:r>
            <w:r w:rsidR="00FB0895">
              <w:rPr>
                <w:noProof/>
                <w:webHidden/>
              </w:rPr>
              <w:fldChar w:fldCharType="separate"/>
            </w:r>
            <w:r w:rsidR="00FB0895">
              <w:rPr>
                <w:noProof/>
                <w:webHidden/>
              </w:rPr>
              <w:t>1</w:t>
            </w:r>
            <w:r w:rsidR="00FB0895">
              <w:rPr>
                <w:noProof/>
                <w:webHidden/>
              </w:rPr>
              <w:fldChar w:fldCharType="end"/>
            </w:r>
          </w:hyperlink>
        </w:p>
        <w:p w14:paraId="7454F25A" w14:textId="77777777" w:rsidR="00FB0895" w:rsidRDefault="00F848F1">
          <w:pPr>
            <w:pStyle w:val="TOC1"/>
            <w:rPr>
              <w:rFonts w:asciiTheme="minorHAnsi" w:eastAsiaTheme="minorEastAsia" w:hAnsiTheme="minorHAnsi" w:cstheme="minorBidi"/>
              <w:noProof/>
              <w:sz w:val="22"/>
              <w:szCs w:val="22"/>
            </w:rPr>
          </w:pPr>
          <w:hyperlink w:anchor="_Toc492550803" w:history="1">
            <w:r w:rsidR="00FB0895" w:rsidRPr="00A21F0C">
              <w:rPr>
                <w:rStyle w:val="Hyperlink"/>
                <w:noProof/>
              </w:rPr>
              <w:t>Overview</w:t>
            </w:r>
            <w:r w:rsidR="00FB0895">
              <w:rPr>
                <w:noProof/>
                <w:webHidden/>
              </w:rPr>
              <w:tab/>
            </w:r>
            <w:r w:rsidR="00FB0895">
              <w:rPr>
                <w:noProof/>
                <w:webHidden/>
              </w:rPr>
              <w:fldChar w:fldCharType="begin"/>
            </w:r>
            <w:r w:rsidR="00FB0895">
              <w:rPr>
                <w:noProof/>
                <w:webHidden/>
              </w:rPr>
              <w:instrText xml:space="preserve"> PAGEREF _Toc492550803 \h </w:instrText>
            </w:r>
            <w:r w:rsidR="00FB0895">
              <w:rPr>
                <w:noProof/>
                <w:webHidden/>
              </w:rPr>
            </w:r>
            <w:r w:rsidR="00FB0895">
              <w:rPr>
                <w:noProof/>
                <w:webHidden/>
              </w:rPr>
              <w:fldChar w:fldCharType="separate"/>
            </w:r>
            <w:r w:rsidR="00FB0895">
              <w:rPr>
                <w:noProof/>
                <w:webHidden/>
              </w:rPr>
              <w:t>2</w:t>
            </w:r>
            <w:r w:rsidR="00FB0895">
              <w:rPr>
                <w:noProof/>
                <w:webHidden/>
              </w:rPr>
              <w:fldChar w:fldCharType="end"/>
            </w:r>
          </w:hyperlink>
        </w:p>
        <w:p w14:paraId="79E26326" w14:textId="77777777" w:rsidR="00FB0895" w:rsidRDefault="00F848F1">
          <w:pPr>
            <w:pStyle w:val="TOC1"/>
            <w:rPr>
              <w:rFonts w:asciiTheme="minorHAnsi" w:eastAsiaTheme="minorEastAsia" w:hAnsiTheme="minorHAnsi" w:cstheme="minorBidi"/>
              <w:noProof/>
              <w:sz w:val="22"/>
              <w:szCs w:val="22"/>
            </w:rPr>
          </w:pPr>
          <w:hyperlink w:anchor="_Toc492550804" w:history="1">
            <w:r w:rsidR="00FB0895" w:rsidRPr="00A21F0C">
              <w:rPr>
                <w:rStyle w:val="Hyperlink"/>
                <w:rFonts w:eastAsia="Calibri"/>
                <w:noProof/>
              </w:rPr>
              <w:t>Exchange and settlement in the Barrier Free model</w:t>
            </w:r>
            <w:r w:rsidR="00FB0895">
              <w:rPr>
                <w:noProof/>
                <w:webHidden/>
              </w:rPr>
              <w:tab/>
            </w:r>
            <w:r w:rsidR="00FB0895">
              <w:rPr>
                <w:noProof/>
                <w:webHidden/>
              </w:rPr>
              <w:fldChar w:fldCharType="begin"/>
            </w:r>
            <w:r w:rsidR="00FB0895">
              <w:rPr>
                <w:noProof/>
                <w:webHidden/>
              </w:rPr>
              <w:instrText xml:space="preserve"> PAGEREF _Toc492550804 \h </w:instrText>
            </w:r>
            <w:r w:rsidR="00FB0895">
              <w:rPr>
                <w:noProof/>
                <w:webHidden/>
              </w:rPr>
            </w:r>
            <w:r w:rsidR="00FB0895">
              <w:rPr>
                <w:noProof/>
                <w:webHidden/>
              </w:rPr>
              <w:fldChar w:fldCharType="separate"/>
            </w:r>
            <w:r w:rsidR="00FB0895">
              <w:rPr>
                <w:noProof/>
                <w:webHidden/>
              </w:rPr>
              <w:t>2</w:t>
            </w:r>
            <w:r w:rsidR="00FB0895">
              <w:rPr>
                <w:noProof/>
                <w:webHidden/>
              </w:rPr>
              <w:fldChar w:fldCharType="end"/>
            </w:r>
          </w:hyperlink>
        </w:p>
        <w:p w14:paraId="7D029DC4" w14:textId="77777777" w:rsidR="00FB0895" w:rsidRDefault="00F848F1">
          <w:pPr>
            <w:pStyle w:val="TOC1"/>
            <w:rPr>
              <w:rFonts w:asciiTheme="minorHAnsi" w:eastAsiaTheme="minorEastAsia" w:hAnsiTheme="minorHAnsi" w:cstheme="minorBidi"/>
              <w:noProof/>
              <w:sz w:val="22"/>
              <w:szCs w:val="22"/>
            </w:rPr>
          </w:pPr>
          <w:hyperlink w:anchor="_Toc492550805" w:history="1">
            <w:r w:rsidR="00FB0895" w:rsidRPr="00A21F0C">
              <w:rPr>
                <w:rStyle w:val="Hyperlink"/>
                <w:rFonts w:eastAsia="Calibri"/>
                <w:noProof/>
              </w:rPr>
              <w:t>Lodgement and registration in the Barrier Free model</w:t>
            </w:r>
            <w:r w:rsidR="00FB0895">
              <w:rPr>
                <w:noProof/>
                <w:webHidden/>
              </w:rPr>
              <w:tab/>
            </w:r>
            <w:r w:rsidR="00FB0895">
              <w:rPr>
                <w:noProof/>
                <w:webHidden/>
              </w:rPr>
              <w:fldChar w:fldCharType="begin"/>
            </w:r>
            <w:r w:rsidR="00FB0895">
              <w:rPr>
                <w:noProof/>
                <w:webHidden/>
              </w:rPr>
              <w:instrText xml:space="preserve"> PAGEREF _Toc492550805 \h </w:instrText>
            </w:r>
            <w:r w:rsidR="00FB0895">
              <w:rPr>
                <w:noProof/>
                <w:webHidden/>
              </w:rPr>
            </w:r>
            <w:r w:rsidR="00FB0895">
              <w:rPr>
                <w:noProof/>
                <w:webHidden/>
              </w:rPr>
              <w:fldChar w:fldCharType="separate"/>
            </w:r>
            <w:r w:rsidR="00FB0895">
              <w:rPr>
                <w:noProof/>
                <w:webHidden/>
              </w:rPr>
              <w:t>3</w:t>
            </w:r>
            <w:r w:rsidR="00FB0895">
              <w:rPr>
                <w:noProof/>
                <w:webHidden/>
              </w:rPr>
              <w:fldChar w:fldCharType="end"/>
            </w:r>
          </w:hyperlink>
        </w:p>
        <w:p w14:paraId="686B56DF" w14:textId="77777777" w:rsidR="00FB0895" w:rsidRDefault="00F848F1">
          <w:pPr>
            <w:pStyle w:val="TOC1"/>
            <w:rPr>
              <w:rFonts w:asciiTheme="minorHAnsi" w:eastAsiaTheme="minorEastAsia" w:hAnsiTheme="minorHAnsi" w:cstheme="minorBidi"/>
              <w:noProof/>
              <w:sz w:val="22"/>
              <w:szCs w:val="22"/>
            </w:rPr>
          </w:pPr>
          <w:hyperlink w:anchor="_Toc492550806" w:history="1">
            <w:r w:rsidR="00FB0895" w:rsidRPr="00A21F0C">
              <w:rPr>
                <w:rStyle w:val="Hyperlink"/>
                <w:rFonts w:eastAsia="Calibri"/>
                <w:noProof/>
              </w:rPr>
              <w:t>Self-assessment of exemptions (including home buyer assistance)</w:t>
            </w:r>
            <w:r w:rsidR="00FB0895">
              <w:rPr>
                <w:noProof/>
                <w:webHidden/>
              </w:rPr>
              <w:tab/>
            </w:r>
            <w:r w:rsidR="00FB0895">
              <w:rPr>
                <w:noProof/>
                <w:webHidden/>
              </w:rPr>
              <w:fldChar w:fldCharType="begin"/>
            </w:r>
            <w:r w:rsidR="00FB0895">
              <w:rPr>
                <w:noProof/>
                <w:webHidden/>
              </w:rPr>
              <w:instrText xml:space="preserve"> PAGEREF _Toc492550806 \h </w:instrText>
            </w:r>
            <w:r w:rsidR="00FB0895">
              <w:rPr>
                <w:noProof/>
                <w:webHidden/>
              </w:rPr>
            </w:r>
            <w:r w:rsidR="00FB0895">
              <w:rPr>
                <w:noProof/>
                <w:webHidden/>
              </w:rPr>
              <w:fldChar w:fldCharType="separate"/>
            </w:r>
            <w:r w:rsidR="00FB0895">
              <w:rPr>
                <w:noProof/>
                <w:webHidden/>
              </w:rPr>
              <w:t>5</w:t>
            </w:r>
            <w:r w:rsidR="00FB0895">
              <w:rPr>
                <w:noProof/>
                <w:webHidden/>
              </w:rPr>
              <w:fldChar w:fldCharType="end"/>
            </w:r>
          </w:hyperlink>
        </w:p>
        <w:p w14:paraId="78F08DCA" w14:textId="77777777" w:rsidR="00FB0895" w:rsidRDefault="00F848F1">
          <w:pPr>
            <w:pStyle w:val="TOC1"/>
            <w:rPr>
              <w:rFonts w:asciiTheme="minorHAnsi" w:eastAsiaTheme="minorEastAsia" w:hAnsiTheme="minorHAnsi" w:cstheme="minorBidi"/>
              <w:noProof/>
              <w:sz w:val="22"/>
              <w:szCs w:val="22"/>
            </w:rPr>
          </w:pPr>
          <w:hyperlink w:anchor="_Toc492550807" w:history="1">
            <w:r w:rsidR="00FB0895" w:rsidRPr="00A21F0C">
              <w:rPr>
                <w:rStyle w:val="Hyperlink"/>
                <w:rFonts w:eastAsia="Calibri"/>
                <w:noProof/>
              </w:rPr>
              <w:t>Assessment and payment in the Barrier Free model</w:t>
            </w:r>
            <w:r w:rsidR="00FB0895">
              <w:rPr>
                <w:noProof/>
                <w:webHidden/>
              </w:rPr>
              <w:tab/>
            </w:r>
            <w:r w:rsidR="00FB0895">
              <w:rPr>
                <w:noProof/>
                <w:webHidden/>
              </w:rPr>
              <w:fldChar w:fldCharType="begin"/>
            </w:r>
            <w:r w:rsidR="00FB0895">
              <w:rPr>
                <w:noProof/>
                <w:webHidden/>
              </w:rPr>
              <w:instrText xml:space="preserve"> PAGEREF _Toc492550807 \h </w:instrText>
            </w:r>
            <w:r w:rsidR="00FB0895">
              <w:rPr>
                <w:noProof/>
                <w:webHidden/>
              </w:rPr>
            </w:r>
            <w:r w:rsidR="00FB0895">
              <w:rPr>
                <w:noProof/>
                <w:webHidden/>
              </w:rPr>
              <w:fldChar w:fldCharType="separate"/>
            </w:r>
            <w:r w:rsidR="00FB0895">
              <w:rPr>
                <w:noProof/>
                <w:webHidden/>
              </w:rPr>
              <w:t>6</w:t>
            </w:r>
            <w:r w:rsidR="00FB0895">
              <w:rPr>
                <w:noProof/>
                <w:webHidden/>
              </w:rPr>
              <w:fldChar w:fldCharType="end"/>
            </w:r>
          </w:hyperlink>
        </w:p>
        <w:p w14:paraId="3F7C63FC" w14:textId="77777777" w:rsidR="00FB0895" w:rsidRDefault="00F848F1">
          <w:pPr>
            <w:pStyle w:val="TOC1"/>
            <w:rPr>
              <w:rFonts w:asciiTheme="minorHAnsi" w:eastAsiaTheme="minorEastAsia" w:hAnsiTheme="minorHAnsi" w:cstheme="minorBidi"/>
              <w:noProof/>
              <w:sz w:val="22"/>
              <w:szCs w:val="22"/>
            </w:rPr>
          </w:pPr>
          <w:hyperlink w:anchor="_Toc492550808" w:history="1">
            <w:r w:rsidR="00FB0895" w:rsidRPr="00A21F0C">
              <w:rPr>
                <w:rStyle w:val="Hyperlink"/>
                <w:rFonts w:eastAsia="Calibri"/>
                <w:noProof/>
              </w:rPr>
              <w:t>Compliance</w:t>
            </w:r>
            <w:r w:rsidR="00FB0895">
              <w:rPr>
                <w:noProof/>
                <w:webHidden/>
              </w:rPr>
              <w:tab/>
            </w:r>
            <w:r w:rsidR="00FB0895">
              <w:rPr>
                <w:noProof/>
                <w:webHidden/>
              </w:rPr>
              <w:fldChar w:fldCharType="begin"/>
            </w:r>
            <w:r w:rsidR="00FB0895">
              <w:rPr>
                <w:noProof/>
                <w:webHidden/>
              </w:rPr>
              <w:instrText xml:space="preserve"> PAGEREF _Toc492550808 \h </w:instrText>
            </w:r>
            <w:r w:rsidR="00FB0895">
              <w:rPr>
                <w:noProof/>
                <w:webHidden/>
              </w:rPr>
            </w:r>
            <w:r w:rsidR="00FB0895">
              <w:rPr>
                <w:noProof/>
                <w:webHidden/>
              </w:rPr>
              <w:fldChar w:fldCharType="separate"/>
            </w:r>
            <w:r w:rsidR="00FB0895">
              <w:rPr>
                <w:noProof/>
                <w:webHidden/>
              </w:rPr>
              <w:t>7</w:t>
            </w:r>
            <w:r w:rsidR="00FB0895">
              <w:rPr>
                <w:noProof/>
                <w:webHidden/>
              </w:rPr>
              <w:fldChar w:fldCharType="end"/>
            </w:r>
          </w:hyperlink>
        </w:p>
        <w:p w14:paraId="2214A014" w14:textId="77777777" w:rsidR="00FB0895" w:rsidRDefault="00F848F1">
          <w:pPr>
            <w:pStyle w:val="TOC1"/>
            <w:rPr>
              <w:rFonts w:asciiTheme="minorHAnsi" w:eastAsiaTheme="minorEastAsia" w:hAnsiTheme="minorHAnsi" w:cstheme="minorBidi"/>
              <w:noProof/>
              <w:sz w:val="22"/>
              <w:szCs w:val="22"/>
            </w:rPr>
          </w:pPr>
          <w:hyperlink w:anchor="_Toc492550809" w:history="1">
            <w:r w:rsidR="00FB0895" w:rsidRPr="00A21F0C">
              <w:rPr>
                <w:rStyle w:val="Hyperlink"/>
                <w:rFonts w:eastAsia="Calibri"/>
                <w:noProof/>
              </w:rPr>
              <w:t>Non-Barrier Free transactions</w:t>
            </w:r>
            <w:r w:rsidR="00FB0895">
              <w:rPr>
                <w:noProof/>
                <w:webHidden/>
              </w:rPr>
              <w:tab/>
            </w:r>
            <w:r w:rsidR="00FB0895">
              <w:rPr>
                <w:noProof/>
                <w:webHidden/>
              </w:rPr>
              <w:fldChar w:fldCharType="begin"/>
            </w:r>
            <w:r w:rsidR="00FB0895">
              <w:rPr>
                <w:noProof/>
                <w:webHidden/>
              </w:rPr>
              <w:instrText xml:space="preserve"> PAGEREF _Toc492550809 \h </w:instrText>
            </w:r>
            <w:r w:rsidR="00FB0895">
              <w:rPr>
                <w:noProof/>
                <w:webHidden/>
              </w:rPr>
            </w:r>
            <w:r w:rsidR="00FB0895">
              <w:rPr>
                <w:noProof/>
                <w:webHidden/>
              </w:rPr>
              <w:fldChar w:fldCharType="separate"/>
            </w:r>
            <w:r w:rsidR="00FB0895">
              <w:rPr>
                <w:noProof/>
                <w:webHidden/>
              </w:rPr>
              <w:t>7</w:t>
            </w:r>
            <w:r w:rsidR="00FB0895">
              <w:rPr>
                <w:noProof/>
                <w:webHidden/>
              </w:rPr>
              <w:fldChar w:fldCharType="end"/>
            </w:r>
          </w:hyperlink>
        </w:p>
        <w:p w14:paraId="0C4DD777" w14:textId="77777777" w:rsidR="00FB0895" w:rsidRDefault="00F848F1">
          <w:pPr>
            <w:pStyle w:val="TOC1"/>
            <w:rPr>
              <w:rFonts w:asciiTheme="minorHAnsi" w:eastAsiaTheme="minorEastAsia" w:hAnsiTheme="minorHAnsi" w:cstheme="minorBidi"/>
              <w:noProof/>
              <w:sz w:val="22"/>
              <w:szCs w:val="22"/>
            </w:rPr>
          </w:pPr>
          <w:hyperlink w:anchor="_Toc492550810" w:history="1">
            <w:r w:rsidR="00FB0895" w:rsidRPr="00A21F0C">
              <w:rPr>
                <w:rStyle w:val="Hyperlink"/>
                <w:rFonts w:eastAsia="Calibri"/>
                <w:noProof/>
              </w:rPr>
              <w:t>Transactions before 18 September 2017</w:t>
            </w:r>
            <w:r w:rsidR="00FB0895">
              <w:rPr>
                <w:noProof/>
                <w:webHidden/>
              </w:rPr>
              <w:tab/>
            </w:r>
            <w:r w:rsidR="00FB0895">
              <w:rPr>
                <w:noProof/>
                <w:webHidden/>
              </w:rPr>
              <w:fldChar w:fldCharType="begin"/>
            </w:r>
            <w:r w:rsidR="00FB0895">
              <w:rPr>
                <w:noProof/>
                <w:webHidden/>
              </w:rPr>
              <w:instrText xml:space="preserve"> PAGEREF _Toc492550810 \h </w:instrText>
            </w:r>
            <w:r w:rsidR="00FB0895">
              <w:rPr>
                <w:noProof/>
                <w:webHidden/>
              </w:rPr>
            </w:r>
            <w:r w:rsidR="00FB0895">
              <w:rPr>
                <w:noProof/>
                <w:webHidden/>
              </w:rPr>
              <w:fldChar w:fldCharType="separate"/>
            </w:r>
            <w:r w:rsidR="00FB0895">
              <w:rPr>
                <w:noProof/>
                <w:webHidden/>
              </w:rPr>
              <w:t>8</w:t>
            </w:r>
            <w:r w:rsidR="00FB0895">
              <w:rPr>
                <w:noProof/>
                <w:webHidden/>
              </w:rPr>
              <w:fldChar w:fldCharType="end"/>
            </w:r>
          </w:hyperlink>
        </w:p>
        <w:p w14:paraId="214FAC8D" w14:textId="77777777" w:rsidR="00FB0895" w:rsidRDefault="00F848F1">
          <w:pPr>
            <w:pStyle w:val="TOC1"/>
            <w:rPr>
              <w:rFonts w:asciiTheme="minorHAnsi" w:eastAsiaTheme="minorEastAsia" w:hAnsiTheme="minorHAnsi" w:cstheme="minorBidi"/>
              <w:noProof/>
              <w:sz w:val="22"/>
              <w:szCs w:val="22"/>
            </w:rPr>
          </w:pPr>
          <w:hyperlink w:anchor="_Toc492550811" w:history="1">
            <w:r w:rsidR="00FB0895" w:rsidRPr="00A21F0C">
              <w:rPr>
                <w:rStyle w:val="Hyperlink"/>
                <w:rFonts w:eastAsia="Calibri"/>
                <w:noProof/>
              </w:rPr>
              <w:t>Other applications outside Barrier Free model</w:t>
            </w:r>
            <w:r w:rsidR="00FB0895">
              <w:rPr>
                <w:noProof/>
                <w:webHidden/>
              </w:rPr>
              <w:tab/>
            </w:r>
            <w:r w:rsidR="00FB0895">
              <w:rPr>
                <w:noProof/>
                <w:webHidden/>
              </w:rPr>
              <w:fldChar w:fldCharType="begin"/>
            </w:r>
            <w:r w:rsidR="00FB0895">
              <w:rPr>
                <w:noProof/>
                <w:webHidden/>
              </w:rPr>
              <w:instrText xml:space="preserve"> PAGEREF _Toc492550811 \h </w:instrText>
            </w:r>
            <w:r w:rsidR="00FB0895">
              <w:rPr>
                <w:noProof/>
                <w:webHidden/>
              </w:rPr>
            </w:r>
            <w:r w:rsidR="00FB0895">
              <w:rPr>
                <w:noProof/>
                <w:webHidden/>
              </w:rPr>
              <w:fldChar w:fldCharType="separate"/>
            </w:r>
            <w:r w:rsidR="00FB0895">
              <w:rPr>
                <w:noProof/>
                <w:webHidden/>
              </w:rPr>
              <w:t>8</w:t>
            </w:r>
            <w:r w:rsidR="00FB0895">
              <w:rPr>
                <w:noProof/>
                <w:webHidden/>
              </w:rPr>
              <w:fldChar w:fldCharType="end"/>
            </w:r>
          </w:hyperlink>
        </w:p>
        <w:p w14:paraId="77DA306A" w14:textId="77777777" w:rsidR="00F65650" w:rsidRDefault="00F65650" w:rsidP="00F65650">
          <w:pPr>
            <w:pStyle w:val="TOC1"/>
          </w:pPr>
          <w:r w:rsidRPr="005A1A9B">
            <w:rPr>
              <w:noProof/>
            </w:rPr>
            <w:fldChar w:fldCharType="end"/>
          </w:r>
        </w:p>
      </w:sdtContent>
    </w:sdt>
    <w:p w14:paraId="088050C4" w14:textId="77777777" w:rsidR="00F65650" w:rsidRPr="005A1A9B" w:rsidRDefault="00F65650" w:rsidP="00F65650">
      <w:pPr>
        <w:pStyle w:val="Heading1"/>
      </w:pPr>
      <w:bookmarkStart w:id="1" w:name="_Toc489957733"/>
      <w:bookmarkStart w:id="2" w:name="_Toc492550802"/>
      <w:r w:rsidRPr="005A1A9B">
        <w:t>Introduction</w:t>
      </w:r>
      <w:bookmarkEnd w:id="1"/>
      <w:bookmarkEnd w:id="2"/>
    </w:p>
    <w:p w14:paraId="3DA7253A" w14:textId="77777777" w:rsidR="00F65650" w:rsidRPr="005A1A9B" w:rsidRDefault="00F65650" w:rsidP="00F65650">
      <w:pPr>
        <w:pStyle w:val="Heading2"/>
      </w:pPr>
      <w:r w:rsidRPr="005A1A9B">
        <w:t>Conveyance duty</w:t>
      </w:r>
    </w:p>
    <w:p w14:paraId="504BFA7C" w14:textId="77777777" w:rsidR="00F65650" w:rsidRPr="005A1A9B" w:rsidRDefault="00F65650" w:rsidP="00F65650">
      <w:r w:rsidRPr="005A1A9B">
        <w:t xml:space="preserve">Chapter 2 of the </w:t>
      </w:r>
      <w:r w:rsidRPr="005A1A9B">
        <w:rPr>
          <w:i/>
        </w:rPr>
        <w:t xml:space="preserve">Duties Act 1999 </w:t>
      </w:r>
      <w:r w:rsidRPr="005A1A9B">
        <w:t xml:space="preserve">(Duties Act) imposes conveyance duty on specific dutiable transactions. These transactions include a transfer of dutiable property, an agreement for sale or transfer of dutiable property, a declaration of trust, and a grant of a Crown lease. Dutiable property includes Crown leases and other land in the ACT. </w:t>
      </w:r>
    </w:p>
    <w:p w14:paraId="0DD54DC7" w14:textId="77777777" w:rsidR="00F65650" w:rsidRPr="005A1A9B" w:rsidRDefault="00F65650" w:rsidP="00F65650"/>
    <w:p w14:paraId="4B157FE4" w14:textId="77777777" w:rsidR="00F65650" w:rsidRDefault="00F65650" w:rsidP="00F65650">
      <w:pPr>
        <w:sectPr w:rsidR="00F65650" w:rsidSect="005473C9">
          <w:headerReference w:type="default" r:id="rId12"/>
          <w:footerReference w:type="default" r:id="rId13"/>
          <w:footerReference w:type="first" r:id="rId14"/>
          <w:pgSz w:w="11910" w:h="16840" w:code="9"/>
          <w:pgMar w:top="-9" w:right="1278" w:bottom="709" w:left="0" w:header="0" w:footer="318" w:gutter="0"/>
          <w:cols w:space="720"/>
          <w:titlePg/>
          <w:docGrid w:linePitch="326"/>
        </w:sectPr>
      </w:pPr>
      <w:r w:rsidRPr="005A1A9B">
        <w:t xml:space="preserve">Duty liability arises when a transaction is first executed (section 11) and the duty is payable by the transferee (section 12). Duty is charged on the dutiable value of the dutiable property subject to the transaction (section 18 and part 2.3). </w:t>
      </w:r>
    </w:p>
    <w:p w14:paraId="12D83B4D" w14:textId="77777777" w:rsidR="00F65650" w:rsidRPr="005A1A9B" w:rsidRDefault="00F65650" w:rsidP="00F65650"/>
    <w:p w14:paraId="0C67BAEA" w14:textId="77777777" w:rsidR="00F65650" w:rsidRPr="005A1A9B" w:rsidRDefault="00F65650" w:rsidP="00F65650">
      <w:pPr>
        <w:pStyle w:val="Heading2"/>
      </w:pPr>
      <w:r w:rsidRPr="005A1A9B">
        <w:t>Barrier Free model</w:t>
      </w:r>
    </w:p>
    <w:p w14:paraId="027A507E" w14:textId="77777777" w:rsidR="00F65650" w:rsidRPr="005A1A9B" w:rsidRDefault="00F65650" w:rsidP="00F65650">
      <w:r w:rsidRPr="00DC7663">
        <w:t xml:space="preserve">The </w:t>
      </w:r>
      <w:r w:rsidRPr="00DC7663">
        <w:rPr>
          <w:i/>
        </w:rPr>
        <w:t>Revenue Legislation Amendment Act 2017</w:t>
      </w:r>
      <w:r w:rsidRPr="00DC7663">
        <w:t xml:space="preserve">, effective </w:t>
      </w:r>
      <w:r w:rsidRPr="007F0BD4">
        <w:t>18</w:t>
      </w:r>
      <w:r w:rsidRPr="00DC7663">
        <w:t xml:space="preserve"> September 2017, introduces the Barrier Free model for the payment of conveyance duty. Under the Barrier Free model property buyers will no longer pay their duty before the settlement of a property.</w:t>
      </w:r>
    </w:p>
    <w:p w14:paraId="296EAF11" w14:textId="77777777" w:rsidR="00F65650" w:rsidRPr="005A1A9B" w:rsidRDefault="00F65650" w:rsidP="00F65650"/>
    <w:p w14:paraId="163EE8FC" w14:textId="77777777" w:rsidR="00F65650" w:rsidRPr="005A1A9B" w:rsidRDefault="00F65650" w:rsidP="00F65650">
      <w:r w:rsidRPr="005A1A9B">
        <w:t>The new model will allow property buyers and solicitors to pay duty after registering with the Registrar-General of Land Titles (Access Canberra). The registration will ‘trigger’ the payment</w:t>
      </w:r>
      <w:r>
        <w:t xml:space="preserve"> and</w:t>
      </w:r>
      <w:r w:rsidRPr="005A1A9B">
        <w:t xml:space="preserve"> </w:t>
      </w:r>
      <w:r>
        <w:t>a</w:t>
      </w:r>
      <w:r w:rsidRPr="005A1A9B">
        <w:t xml:space="preserve"> </w:t>
      </w:r>
      <w:r>
        <w:t>N</w:t>
      </w:r>
      <w:r w:rsidRPr="005A1A9B">
        <w:t xml:space="preserve">otice of </w:t>
      </w:r>
      <w:r>
        <w:t>A</w:t>
      </w:r>
      <w:r w:rsidRPr="005A1A9B">
        <w:t>ssessment will be delivered to the email address nominated on registration at Access Canberra.</w:t>
      </w:r>
    </w:p>
    <w:p w14:paraId="067CD2CF" w14:textId="77777777" w:rsidR="00F65650" w:rsidRPr="005A1A9B" w:rsidRDefault="00F65650" w:rsidP="00F65650"/>
    <w:p w14:paraId="7DAFF8B5" w14:textId="77777777" w:rsidR="00F65650" w:rsidRDefault="00F65650" w:rsidP="00F65650">
      <w:r w:rsidRPr="005A1A9B">
        <w:t>The purpose of this circular is</w:t>
      </w:r>
      <w:r>
        <w:t xml:space="preserve"> to</w:t>
      </w:r>
      <w:r w:rsidRPr="005A1A9B">
        <w:t xml:space="preserve"> explain the Barrier Free model and the typical timeline for transactions.</w:t>
      </w:r>
    </w:p>
    <w:p w14:paraId="62E529B8" w14:textId="77777777" w:rsidR="00F65650" w:rsidRPr="005A1A9B" w:rsidRDefault="00F65650" w:rsidP="00F65650"/>
    <w:p w14:paraId="0C7E5C53" w14:textId="77777777" w:rsidR="00F65650" w:rsidRPr="005A1A9B" w:rsidRDefault="00F65650" w:rsidP="00F65650">
      <w:pPr>
        <w:pStyle w:val="Heading1"/>
      </w:pPr>
      <w:bookmarkStart w:id="3" w:name="_Toc489957734"/>
      <w:bookmarkStart w:id="4" w:name="_Toc492550803"/>
      <w:r>
        <w:t>Overview</w:t>
      </w:r>
      <w:bookmarkEnd w:id="3"/>
      <w:bookmarkEnd w:id="4"/>
    </w:p>
    <w:p w14:paraId="66A8A5E1" w14:textId="77777777" w:rsidR="00F65650" w:rsidRPr="005A1A9B" w:rsidRDefault="00F65650" w:rsidP="00F65650">
      <w:r w:rsidRPr="005A1A9B">
        <w:t>The ACT Revenue Office’s Revenue Collection Transformation Program has developed a new IT system and transforming its existing business processes to suit a digital environment. The Barrier Free model is a redesigned model for collecting conveyance duty that is well adapted to a digital platform and to the ACT’s size and property market.</w:t>
      </w:r>
    </w:p>
    <w:p w14:paraId="6EF09EBF" w14:textId="77777777" w:rsidR="00F65650" w:rsidRPr="005A1A9B" w:rsidRDefault="00F65650" w:rsidP="00F65650">
      <w:pPr>
        <w:pStyle w:val="Heading2"/>
      </w:pPr>
      <w:r w:rsidRPr="005A1A9B">
        <w:t xml:space="preserve">Legislative </w:t>
      </w:r>
      <w:r>
        <w:t>overview</w:t>
      </w:r>
    </w:p>
    <w:p w14:paraId="200708D0" w14:textId="77777777" w:rsidR="00F65650" w:rsidRPr="005A1A9B" w:rsidRDefault="00F65650" w:rsidP="00F65650">
      <w:r>
        <w:t xml:space="preserve">The </w:t>
      </w:r>
      <w:r>
        <w:rPr>
          <w:i/>
        </w:rPr>
        <w:t xml:space="preserve">Revenue Legislation Amendment Act 2017 </w:t>
      </w:r>
      <w:r>
        <w:t>(effective 18 September 2017) amended a number of pieces of legislation,</w:t>
      </w:r>
      <w:r w:rsidRPr="005A1A9B">
        <w:t xml:space="preserve"> primarily the</w:t>
      </w:r>
      <w:r w:rsidRPr="00CF4476">
        <w:t xml:space="preserve"> </w:t>
      </w:r>
      <w:r w:rsidRPr="007F0BD4">
        <w:t xml:space="preserve">Duties Act </w:t>
      </w:r>
      <w:r w:rsidRPr="005A1A9B">
        <w:t xml:space="preserve">and the </w:t>
      </w:r>
      <w:r w:rsidRPr="005A1A9B">
        <w:rPr>
          <w:i/>
        </w:rPr>
        <w:t xml:space="preserve">Land Titles Act 1925 </w:t>
      </w:r>
      <w:r w:rsidRPr="005A1A9B">
        <w:t>(Land</w:t>
      </w:r>
      <w:r>
        <w:t> </w:t>
      </w:r>
      <w:r w:rsidRPr="005A1A9B">
        <w:t>Titles Act)</w:t>
      </w:r>
      <w:r>
        <w:t>,</w:t>
      </w:r>
      <w:r w:rsidRPr="005A1A9B">
        <w:t xml:space="preserve"> to support the Barrier Free model. The amendments included:</w:t>
      </w:r>
    </w:p>
    <w:p w14:paraId="48E9DE1E" w14:textId="77777777" w:rsidR="00F65650" w:rsidRDefault="00F65650" w:rsidP="00F65650">
      <w:pPr>
        <w:pStyle w:val="ListParagraph"/>
        <w:widowControl/>
        <w:numPr>
          <w:ilvl w:val="0"/>
          <w:numId w:val="38"/>
        </w:numPr>
        <w:suppressAutoHyphens w:val="0"/>
        <w:autoSpaceDE/>
        <w:autoSpaceDN/>
        <w:ind w:left="1857"/>
        <w:contextualSpacing/>
        <w:jc w:val="left"/>
        <w:textAlignment w:val="auto"/>
      </w:pPr>
      <w:r w:rsidRPr="00F65650">
        <w:rPr>
          <w:b/>
        </w:rPr>
        <w:t xml:space="preserve">Moving the trigger for duty payment </w:t>
      </w:r>
      <w:r w:rsidRPr="007F0BD4">
        <w:t>from the execution date of the contract to the point of land titles registration at Access Canberra.</w:t>
      </w:r>
    </w:p>
    <w:p w14:paraId="4EFAF479" w14:textId="77777777" w:rsidR="00F65650" w:rsidRDefault="00F65650" w:rsidP="00F65650">
      <w:pPr>
        <w:pStyle w:val="ListParagraph"/>
        <w:widowControl/>
        <w:numPr>
          <w:ilvl w:val="0"/>
          <w:numId w:val="38"/>
        </w:numPr>
        <w:suppressAutoHyphens w:val="0"/>
        <w:autoSpaceDE/>
        <w:autoSpaceDN/>
        <w:ind w:left="1857"/>
        <w:contextualSpacing/>
        <w:jc w:val="left"/>
        <w:textAlignment w:val="auto"/>
      </w:pPr>
      <w:r w:rsidRPr="00F65650">
        <w:rPr>
          <w:b/>
        </w:rPr>
        <w:t>Consolidating several exemptions</w:t>
      </w:r>
      <w:r w:rsidRPr="007F0BD4">
        <w:t xml:space="preserve"> across the</w:t>
      </w:r>
      <w:r w:rsidRPr="00F65650">
        <w:t xml:space="preserve"> Duties Act </w:t>
      </w:r>
      <w:r w:rsidRPr="007F0BD4">
        <w:t>without changing their effect. For example, the exemptions for family law agreements were moved to part 11.2 of the Act.</w:t>
      </w:r>
    </w:p>
    <w:p w14:paraId="0C819C0E" w14:textId="77777777" w:rsidR="00F65650" w:rsidRDefault="00F65650" w:rsidP="00F65650">
      <w:pPr>
        <w:pStyle w:val="ListParagraph"/>
        <w:widowControl/>
        <w:numPr>
          <w:ilvl w:val="0"/>
          <w:numId w:val="38"/>
        </w:numPr>
        <w:suppressAutoHyphens w:val="0"/>
        <w:autoSpaceDE/>
        <w:autoSpaceDN/>
        <w:ind w:left="1857"/>
        <w:contextualSpacing/>
        <w:jc w:val="left"/>
        <w:textAlignment w:val="auto"/>
      </w:pPr>
      <w:r w:rsidRPr="00F65650">
        <w:rPr>
          <w:b/>
        </w:rPr>
        <w:t>Abolition of $20 and $200 nominal duty</w:t>
      </w:r>
      <w:r w:rsidRPr="007F0BD4">
        <w:t xml:space="preserve"> by converting all nominal concessions to full exemptions. </w:t>
      </w:r>
    </w:p>
    <w:p w14:paraId="634C6D3F" w14:textId="77777777" w:rsidR="00F65650" w:rsidRDefault="00F65650" w:rsidP="00F65650">
      <w:pPr>
        <w:pStyle w:val="ListParagraph"/>
        <w:widowControl/>
        <w:numPr>
          <w:ilvl w:val="0"/>
          <w:numId w:val="38"/>
        </w:numPr>
        <w:suppressAutoHyphens w:val="0"/>
        <w:autoSpaceDE/>
        <w:autoSpaceDN/>
        <w:ind w:left="1857"/>
        <w:contextualSpacing/>
        <w:jc w:val="left"/>
        <w:textAlignment w:val="auto"/>
      </w:pPr>
      <w:r w:rsidRPr="00F65650">
        <w:rPr>
          <w:b/>
        </w:rPr>
        <w:t>Abolition of stamping requirements.</w:t>
      </w:r>
      <w:r w:rsidRPr="007F0BD4">
        <w:t xml:space="preserve"> Instead, dutiable transactions which affect the title </w:t>
      </w:r>
      <w:r>
        <w:t>register</w:t>
      </w:r>
      <w:r w:rsidRPr="007F0BD4">
        <w:t xml:space="preserve"> are required to be lodged for registration with Access Canberra within 14 days of settlement. All transactions which do not affect the title register are required to be submitted via SmartForm. </w:t>
      </w:r>
    </w:p>
    <w:p w14:paraId="0607F184" w14:textId="77777777" w:rsidR="00F65650" w:rsidRDefault="00F65650" w:rsidP="00F65650">
      <w:pPr>
        <w:pStyle w:val="ListParagraph"/>
        <w:widowControl/>
        <w:numPr>
          <w:ilvl w:val="0"/>
          <w:numId w:val="38"/>
        </w:numPr>
        <w:suppressAutoHyphens w:val="0"/>
        <w:autoSpaceDE/>
        <w:autoSpaceDN/>
        <w:ind w:left="1857"/>
        <w:contextualSpacing/>
        <w:jc w:val="left"/>
        <w:textAlignment w:val="auto"/>
      </w:pPr>
      <w:r w:rsidRPr="00F65650">
        <w:rPr>
          <w:b/>
        </w:rPr>
        <w:t>Authorising Access Canberra to collect information on behalf of the ACT Revenue Office.</w:t>
      </w:r>
      <w:r w:rsidRPr="007F0BD4">
        <w:t xml:space="preserve"> In the Barrier Free model, Access Canberra is required to notify the ACT Revenue Office of each </w:t>
      </w:r>
      <w:r>
        <w:t xml:space="preserve">dutiable </w:t>
      </w:r>
      <w:r w:rsidRPr="007F0BD4">
        <w:t>transaction.</w:t>
      </w:r>
    </w:p>
    <w:p w14:paraId="79C91071" w14:textId="77777777" w:rsidR="00F65650" w:rsidRDefault="00F65650" w:rsidP="00F65650">
      <w:pPr>
        <w:pStyle w:val="ListParagraph"/>
        <w:widowControl/>
        <w:numPr>
          <w:ilvl w:val="0"/>
          <w:numId w:val="38"/>
        </w:numPr>
        <w:suppressAutoHyphens w:val="0"/>
        <w:autoSpaceDE/>
        <w:autoSpaceDN/>
        <w:ind w:left="1857"/>
        <w:contextualSpacing/>
        <w:jc w:val="left"/>
        <w:textAlignment w:val="auto"/>
      </w:pPr>
      <w:r w:rsidRPr="00F65650">
        <w:rPr>
          <w:b/>
        </w:rPr>
        <w:t xml:space="preserve">Extending the sale of land process to unpaid duty. </w:t>
      </w:r>
      <w:r w:rsidRPr="007F0BD4">
        <w:t xml:space="preserve">This process formerly applied to rates, land tax and land rent only. It allows the Commissioner to obtain a court order to sell property in order to recover tax in arrears. This is a robust option to protect revenue in the absence of stamping requirements (formerly, the stamp guaranteed the payment of duty before </w:t>
      </w:r>
      <w:r>
        <w:t>registration</w:t>
      </w:r>
      <w:r w:rsidRPr="007F0BD4">
        <w:t xml:space="preserve"> of a transaction).</w:t>
      </w:r>
    </w:p>
    <w:p w14:paraId="3188C7CC" w14:textId="77777777" w:rsidR="00F65650" w:rsidRDefault="00F65650" w:rsidP="00F65650">
      <w:pPr>
        <w:widowControl/>
        <w:suppressAutoHyphens w:val="0"/>
        <w:autoSpaceDE/>
        <w:autoSpaceDN/>
        <w:contextualSpacing/>
        <w:jc w:val="left"/>
        <w:textAlignment w:val="auto"/>
      </w:pPr>
    </w:p>
    <w:p w14:paraId="6765A39D" w14:textId="77777777" w:rsidR="00F65650" w:rsidRDefault="00F65650" w:rsidP="00F65650">
      <w:pPr>
        <w:pStyle w:val="Heading1"/>
        <w:rPr>
          <w:rFonts w:eastAsia="Calibri"/>
        </w:rPr>
      </w:pPr>
      <w:bookmarkStart w:id="5" w:name="_Toc489957735"/>
      <w:bookmarkStart w:id="6" w:name="_Toc492550804"/>
      <w:r>
        <w:rPr>
          <w:rFonts w:eastAsia="Calibri"/>
        </w:rPr>
        <w:t>Exchange and settlement in the Barrier Free model</w:t>
      </w:r>
      <w:bookmarkEnd w:id="5"/>
      <w:bookmarkEnd w:id="6"/>
    </w:p>
    <w:p w14:paraId="4142BB51" w14:textId="77777777" w:rsidR="00F65650" w:rsidRDefault="00F65650" w:rsidP="00F65650">
      <w:pPr>
        <w:rPr>
          <w:rFonts w:eastAsia="Calibri"/>
        </w:rPr>
      </w:pPr>
      <w:r w:rsidRPr="00A57384">
        <w:rPr>
          <w:rFonts w:eastAsia="Calibri"/>
        </w:rPr>
        <w:t xml:space="preserve">Almost all conveyancing transactions </w:t>
      </w:r>
      <w:r>
        <w:rPr>
          <w:rFonts w:eastAsia="Calibri"/>
        </w:rPr>
        <w:t>executed on or after 18 September 2017 will be</w:t>
      </w:r>
      <w:r w:rsidRPr="00A57384">
        <w:rPr>
          <w:rFonts w:eastAsia="Calibri"/>
        </w:rPr>
        <w:t xml:space="preserve"> registered</w:t>
      </w:r>
      <w:r>
        <w:rPr>
          <w:rFonts w:eastAsia="Calibri"/>
        </w:rPr>
        <w:t xml:space="preserve"> under </w:t>
      </w:r>
      <w:r w:rsidRPr="007F0BD4">
        <w:rPr>
          <w:rFonts w:eastAsia="Calibri"/>
        </w:rPr>
        <w:t xml:space="preserve">the Land Titles Act </w:t>
      </w:r>
      <w:r w:rsidRPr="00A57384">
        <w:rPr>
          <w:rFonts w:eastAsia="Calibri"/>
        </w:rPr>
        <w:t xml:space="preserve">and so are subject to the Barrier Free model. </w:t>
      </w:r>
      <w:r>
        <w:rPr>
          <w:rFonts w:eastAsia="Calibri"/>
        </w:rPr>
        <w:t xml:space="preserve">These include </w:t>
      </w:r>
      <w:r w:rsidRPr="005A1A9B">
        <w:rPr>
          <w:rFonts w:eastAsia="Calibri"/>
        </w:rPr>
        <w:t xml:space="preserve">grants of Crown leases, transfers of dutiable </w:t>
      </w:r>
      <w:r>
        <w:rPr>
          <w:rFonts w:eastAsia="Calibri"/>
        </w:rPr>
        <w:t>property and contracts for sale.</w:t>
      </w:r>
    </w:p>
    <w:p w14:paraId="3818E0E0" w14:textId="77777777" w:rsidR="00F65650" w:rsidRDefault="00F65650" w:rsidP="00F65650">
      <w:pPr>
        <w:rPr>
          <w:rFonts w:eastAsia="Calibri"/>
        </w:rPr>
      </w:pPr>
    </w:p>
    <w:p w14:paraId="2D77D209" w14:textId="69AA0ACE" w:rsidR="00F65650" w:rsidRDefault="00F65650" w:rsidP="00F65650">
      <w:pPr>
        <w:rPr>
          <w:rFonts w:eastAsia="Calibri"/>
        </w:rPr>
      </w:pPr>
      <w:r>
        <w:rPr>
          <w:rFonts w:eastAsia="Calibri"/>
        </w:rPr>
        <w:t xml:space="preserve">The date that duty liability arises under the Act, section 11, continues to be the date of entry into an agreement to purchase property, the date of grant or the date of transfer – whichever occurs first (not settlement or registration). </w:t>
      </w:r>
      <w:r w:rsidR="0024065B">
        <w:rPr>
          <w:rFonts w:eastAsia="Calibri"/>
        </w:rPr>
        <w:t>Duty is calculated using the rates applying as at this date.</w:t>
      </w:r>
    </w:p>
    <w:p w14:paraId="68C162E2" w14:textId="77777777" w:rsidR="00F65650" w:rsidRDefault="00F65650" w:rsidP="00F65650">
      <w:pPr>
        <w:rPr>
          <w:rFonts w:eastAsia="Calibri"/>
        </w:rPr>
      </w:pPr>
    </w:p>
    <w:p w14:paraId="5DFB5A1B" w14:textId="77777777" w:rsidR="00F65650" w:rsidRDefault="00F65650" w:rsidP="00F65650">
      <w:pPr>
        <w:rPr>
          <w:rFonts w:eastAsia="Calibri"/>
        </w:rPr>
      </w:pPr>
      <w:r>
        <w:rPr>
          <w:rFonts w:eastAsia="Calibri"/>
        </w:rPr>
        <w:t xml:space="preserve">This may also be known as the contract date, execution date, exchange date or liability date. </w:t>
      </w:r>
    </w:p>
    <w:p w14:paraId="0EBCAE21" w14:textId="77777777" w:rsidR="00F65650" w:rsidRDefault="00F65650" w:rsidP="00F65650">
      <w:pPr>
        <w:rPr>
          <w:rFonts w:eastAsia="Calibri"/>
        </w:rPr>
      </w:pPr>
    </w:p>
    <w:p w14:paraId="7770E62D" w14:textId="77777777" w:rsidR="00F65650" w:rsidRDefault="00F65650" w:rsidP="00F65650">
      <w:pPr>
        <w:rPr>
          <w:rFonts w:eastAsia="Calibri"/>
        </w:rPr>
      </w:pPr>
      <w:r>
        <w:rPr>
          <w:rFonts w:eastAsia="Calibri"/>
        </w:rPr>
        <w:t xml:space="preserve">If a concession or exemption applies to the transaction, please be aware that unless otherwise specified, the date of liability is the relevant date for determining whether the transaction is eligible for the concession or exemption. </w:t>
      </w:r>
    </w:p>
    <w:p w14:paraId="413B4369" w14:textId="77777777" w:rsidR="00F65650" w:rsidRDefault="00F65650" w:rsidP="00F65650">
      <w:pPr>
        <w:pStyle w:val="Heading2"/>
        <w:rPr>
          <w:rFonts w:eastAsia="Calibri"/>
        </w:rPr>
      </w:pPr>
      <w:r>
        <w:rPr>
          <w:rFonts w:eastAsia="Calibri"/>
        </w:rPr>
        <w:t>Buyer Verification Declaration</w:t>
      </w:r>
    </w:p>
    <w:p w14:paraId="1995DEC0" w14:textId="77777777" w:rsidR="00F65650" w:rsidRDefault="00F65650" w:rsidP="00F65650">
      <w:pPr>
        <w:rPr>
          <w:rFonts w:eastAsia="Calibri"/>
        </w:rPr>
      </w:pPr>
      <w:r>
        <w:rPr>
          <w:rFonts w:eastAsia="Calibri"/>
        </w:rPr>
        <w:t xml:space="preserve">From 1 July 2017, Access Canberra requires both buyers and sellers to submit a Buyer Verification declaration and Seller Verification Declaration respectively before a transfer can be lodged and registered. These online forms are available on the Access Canberra website at </w:t>
      </w:r>
      <w:hyperlink r:id="rId15" w:history="1">
        <w:r w:rsidRPr="005F65EE">
          <w:rPr>
            <w:rStyle w:val="Hyperlink"/>
            <w:rFonts w:eastAsia="Calibri"/>
          </w:rPr>
          <w:t>www.accesscanberra.act.gov.au</w:t>
        </w:r>
      </w:hyperlink>
      <w:r>
        <w:rPr>
          <w:rFonts w:eastAsia="Calibri"/>
        </w:rPr>
        <w:t xml:space="preserve">. </w:t>
      </w:r>
    </w:p>
    <w:p w14:paraId="258F29CB" w14:textId="77777777" w:rsidR="00F65650" w:rsidRDefault="00F65650" w:rsidP="00F65650">
      <w:pPr>
        <w:rPr>
          <w:rFonts w:eastAsia="Calibri"/>
        </w:rPr>
      </w:pPr>
    </w:p>
    <w:p w14:paraId="00431383" w14:textId="77777777" w:rsidR="00F65650" w:rsidRDefault="00F65650" w:rsidP="00F65650">
      <w:pPr>
        <w:rPr>
          <w:rFonts w:eastAsia="Calibri"/>
        </w:rPr>
      </w:pPr>
      <w:r>
        <w:rPr>
          <w:rFonts w:eastAsia="Calibri"/>
        </w:rPr>
        <w:t>The Buyer Verification Declaration is relevant to the Barrier Free model as the buyer of a property is liable for duty under the Duties Act.</w:t>
      </w:r>
    </w:p>
    <w:p w14:paraId="28503600" w14:textId="77777777" w:rsidR="00F65650" w:rsidRDefault="00F65650" w:rsidP="00F65650">
      <w:pPr>
        <w:rPr>
          <w:rFonts w:eastAsia="Calibri"/>
        </w:rPr>
      </w:pPr>
    </w:p>
    <w:p w14:paraId="28345454" w14:textId="77777777" w:rsidR="00F65650" w:rsidRDefault="00F65650" w:rsidP="00F65650">
      <w:r>
        <w:t>When completed, an email with a unique reference number and a submission date will be sent to the nominated email address. The forms requiring these buyer and seller form numbers and dates are marked in the instructions of each form.</w:t>
      </w:r>
    </w:p>
    <w:p w14:paraId="7A93D076" w14:textId="77777777" w:rsidR="00F65650" w:rsidRDefault="00F65650" w:rsidP="00F65650"/>
    <w:p w14:paraId="13B136AE" w14:textId="77777777" w:rsidR="00F65650" w:rsidRDefault="00F65650" w:rsidP="00F65650">
      <w:pPr>
        <w:rPr>
          <w:rFonts w:eastAsia="Calibri"/>
        </w:rPr>
      </w:pPr>
      <w:r>
        <w:t>Access Canberra requires both a</w:t>
      </w:r>
      <w:r w:rsidRPr="00A4483A">
        <w:t xml:space="preserve"> </w:t>
      </w:r>
      <w:r>
        <w:t>reference number and a submission date from the buyer and seller for a lodgement to be accepted.</w:t>
      </w:r>
    </w:p>
    <w:p w14:paraId="108B75C6" w14:textId="77777777" w:rsidR="00F65650" w:rsidRDefault="00F65650" w:rsidP="00F65650">
      <w:pPr>
        <w:pStyle w:val="Heading2"/>
        <w:rPr>
          <w:rFonts w:eastAsia="Calibri"/>
        </w:rPr>
      </w:pPr>
      <w:r>
        <w:rPr>
          <w:rFonts w:eastAsia="Calibri"/>
        </w:rPr>
        <w:t xml:space="preserve"> ‘Off the plan’ purchase agreements</w:t>
      </w:r>
    </w:p>
    <w:p w14:paraId="5131E81F" w14:textId="77777777" w:rsidR="00F65650" w:rsidRDefault="00F65650" w:rsidP="00F65650">
      <w:pPr>
        <w:rPr>
          <w:rFonts w:eastAsia="Calibri"/>
        </w:rPr>
      </w:pPr>
      <w:r w:rsidRPr="007F0BD4">
        <w:rPr>
          <w:rFonts w:eastAsia="Calibri"/>
        </w:rPr>
        <w:t xml:space="preserve">In the Barrier Free model there is no distinction between </w:t>
      </w:r>
      <w:r>
        <w:rPr>
          <w:rFonts w:eastAsia="Calibri"/>
        </w:rPr>
        <w:t>‘</w:t>
      </w:r>
      <w:r w:rsidRPr="007F0BD4">
        <w:rPr>
          <w:rFonts w:eastAsia="Calibri"/>
        </w:rPr>
        <w:t>off the plan</w:t>
      </w:r>
      <w:r>
        <w:rPr>
          <w:rFonts w:eastAsia="Calibri"/>
        </w:rPr>
        <w:t>’</w:t>
      </w:r>
      <w:r w:rsidRPr="007F0BD4">
        <w:rPr>
          <w:rFonts w:eastAsia="Calibri"/>
        </w:rPr>
        <w:t xml:space="preserve"> purchase</w:t>
      </w:r>
      <w:r>
        <w:rPr>
          <w:rFonts w:eastAsia="Calibri"/>
        </w:rPr>
        <w:t xml:space="preserve"> contract</w:t>
      </w:r>
      <w:r w:rsidRPr="007F0BD4">
        <w:rPr>
          <w:rFonts w:eastAsia="Calibri"/>
        </w:rPr>
        <w:t>s and other contracts</w:t>
      </w:r>
      <w:r>
        <w:rPr>
          <w:rFonts w:eastAsia="Calibri"/>
        </w:rPr>
        <w:t>. The duty for off the plan property purchases will be handled under the Barrier Free model timeframe of 14 days after title registration.</w:t>
      </w:r>
    </w:p>
    <w:p w14:paraId="02A2DA23" w14:textId="77777777" w:rsidR="00F65650" w:rsidRDefault="00F65650" w:rsidP="00F65650">
      <w:pPr>
        <w:pStyle w:val="Heading2"/>
        <w:rPr>
          <w:rFonts w:eastAsia="Calibri"/>
        </w:rPr>
      </w:pPr>
      <w:r>
        <w:rPr>
          <w:rFonts w:eastAsia="Calibri"/>
        </w:rPr>
        <w:t>Rescissions</w:t>
      </w:r>
    </w:p>
    <w:p w14:paraId="3C972145" w14:textId="77777777" w:rsidR="00F65650" w:rsidRDefault="00F65650" w:rsidP="00F65650">
      <w:pPr>
        <w:rPr>
          <w:rFonts w:eastAsia="Calibri"/>
        </w:rPr>
      </w:pPr>
      <w:r w:rsidRPr="007F0BD4">
        <w:rPr>
          <w:rFonts w:eastAsia="Calibri"/>
        </w:rPr>
        <w:t>Under the Barrier Free model duty is not paid before settlement – therefore, contracts for sale that are rescinded do not give rise to refunds of duty.</w:t>
      </w:r>
      <w:r>
        <w:rPr>
          <w:rFonts w:eastAsia="Calibri"/>
        </w:rPr>
        <w:t xml:space="preserve"> </w:t>
      </w:r>
      <w:r w:rsidRPr="007F0BD4">
        <w:rPr>
          <w:rFonts w:eastAsia="Calibri"/>
        </w:rPr>
        <w:t xml:space="preserve">If the agreement is cancelled and does not give effect to a </w:t>
      </w:r>
      <w:proofErr w:type="spellStart"/>
      <w:r w:rsidRPr="007F0BD4">
        <w:rPr>
          <w:rFonts w:eastAsia="Calibri"/>
        </w:rPr>
        <w:t>subsale</w:t>
      </w:r>
      <w:proofErr w:type="spellEnd"/>
      <w:r w:rsidRPr="007F0BD4">
        <w:rPr>
          <w:rFonts w:eastAsia="Calibri"/>
        </w:rPr>
        <w:t>, no further action is required and the contract does not have to be lodged with the ACT Revenue Office.</w:t>
      </w:r>
    </w:p>
    <w:p w14:paraId="0CE42286" w14:textId="77777777" w:rsidR="00F65650" w:rsidRDefault="00F65650" w:rsidP="00F65650">
      <w:pPr>
        <w:rPr>
          <w:rFonts w:eastAsia="Calibri"/>
        </w:rPr>
      </w:pPr>
    </w:p>
    <w:p w14:paraId="270D199E" w14:textId="3D3BB610" w:rsidR="00F65650" w:rsidRDefault="00F65650" w:rsidP="00F65650">
      <w:pPr>
        <w:rPr>
          <w:rFonts w:eastAsia="Calibri"/>
        </w:rPr>
      </w:pPr>
      <w:r w:rsidRPr="007F0BD4">
        <w:rPr>
          <w:rFonts w:eastAsia="Calibri"/>
        </w:rPr>
        <w:t xml:space="preserve">If a </w:t>
      </w:r>
      <w:proofErr w:type="spellStart"/>
      <w:r w:rsidRPr="007F0BD4">
        <w:rPr>
          <w:rFonts w:eastAsia="Calibri"/>
        </w:rPr>
        <w:t>subsale</w:t>
      </w:r>
      <w:proofErr w:type="spellEnd"/>
      <w:r w:rsidRPr="007F0BD4">
        <w:rPr>
          <w:rFonts w:eastAsia="Calibri"/>
        </w:rPr>
        <w:t xml:space="preserve"> occurs, the purchaser or transferee under the cancelled agreement must lodge the contract via the </w:t>
      </w:r>
      <w:proofErr w:type="spellStart"/>
      <w:r w:rsidRPr="007F0BD4">
        <w:rPr>
          <w:rFonts w:eastAsia="Calibri"/>
        </w:rPr>
        <w:t>Sub</w:t>
      </w:r>
      <w:r>
        <w:rPr>
          <w:rFonts w:eastAsia="Calibri"/>
        </w:rPr>
        <w:t>s</w:t>
      </w:r>
      <w:r w:rsidRPr="007F0BD4">
        <w:rPr>
          <w:rFonts w:eastAsia="Calibri"/>
        </w:rPr>
        <w:t>ale</w:t>
      </w:r>
      <w:proofErr w:type="spellEnd"/>
      <w:r w:rsidRPr="007F0BD4">
        <w:rPr>
          <w:rFonts w:eastAsia="Calibri"/>
        </w:rPr>
        <w:t xml:space="preserve"> SmartForm within 14 days of the cancellation date and pay duty on that transaction.</w:t>
      </w:r>
    </w:p>
    <w:p w14:paraId="3C9C78F2" w14:textId="77777777" w:rsidR="00F65650" w:rsidRDefault="00F65650" w:rsidP="00F65650">
      <w:pPr>
        <w:rPr>
          <w:rFonts w:eastAsia="Calibri"/>
        </w:rPr>
      </w:pPr>
    </w:p>
    <w:p w14:paraId="0AEBC367" w14:textId="5955F172" w:rsidR="003537C1" w:rsidRDefault="003537C1" w:rsidP="003537C1">
      <w:r>
        <w:t xml:space="preserve">For more information on lodging </w:t>
      </w:r>
      <w:proofErr w:type="spellStart"/>
      <w:r>
        <w:t>subsales</w:t>
      </w:r>
      <w:proofErr w:type="spellEnd"/>
      <w:r>
        <w:t xml:space="preserve"> outside the Barrier Free model and to access the form, see the information </w:t>
      </w:r>
      <w:r w:rsidR="00AF786B">
        <w:t>under the ‘Barrier</w:t>
      </w:r>
      <w:r>
        <w:t xml:space="preserve"> Free Conveyancing’ tab on </w:t>
      </w:r>
      <w:hyperlink r:id="rId16" w:history="1">
        <w:r w:rsidRPr="00D83131">
          <w:rPr>
            <w:rStyle w:val="Hyperlink"/>
          </w:rPr>
          <w:t>www.revenue.act.gov.au</w:t>
        </w:r>
      </w:hyperlink>
      <w:r>
        <w:t>.</w:t>
      </w:r>
    </w:p>
    <w:p w14:paraId="59D8BEBE" w14:textId="5091F834" w:rsidR="00F65650" w:rsidRDefault="00F65650" w:rsidP="00F65650">
      <w:pPr>
        <w:rPr>
          <w:rFonts w:eastAsia="Calibri"/>
        </w:rPr>
      </w:pPr>
    </w:p>
    <w:p w14:paraId="6B1A6F44" w14:textId="77777777" w:rsidR="00F65650" w:rsidRDefault="00F65650" w:rsidP="00F65650">
      <w:pPr>
        <w:pStyle w:val="Heading2"/>
        <w:rPr>
          <w:rFonts w:eastAsia="Calibri"/>
        </w:rPr>
      </w:pPr>
      <w:r>
        <w:rPr>
          <w:rFonts w:eastAsia="Calibri"/>
        </w:rPr>
        <w:t>Why can’t I pay before settlement?</w:t>
      </w:r>
    </w:p>
    <w:p w14:paraId="702B6149" w14:textId="77777777" w:rsidR="00F65650" w:rsidRDefault="00F65650" w:rsidP="00F65650">
      <w:pPr>
        <w:rPr>
          <w:rFonts w:eastAsia="Calibri"/>
        </w:rPr>
      </w:pPr>
      <w:r w:rsidRPr="005A1A9B">
        <w:rPr>
          <w:rFonts w:eastAsia="Calibri"/>
        </w:rPr>
        <w:t xml:space="preserve">Under the Barrier Free model a </w:t>
      </w:r>
      <w:r>
        <w:rPr>
          <w:rFonts w:eastAsia="Calibri"/>
        </w:rPr>
        <w:t xml:space="preserve">client’s </w:t>
      </w:r>
      <w:r w:rsidRPr="005A1A9B">
        <w:rPr>
          <w:rFonts w:eastAsia="Calibri"/>
        </w:rPr>
        <w:t xml:space="preserve">account will not be created until Access Canberra provides notice of the transaction with all the required information to the ACT Revenue Office, at which time a notice of assessment will be issued. </w:t>
      </w:r>
    </w:p>
    <w:p w14:paraId="4B4028C7" w14:textId="77777777" w:rsidR="00F65650" w:rsidRDefault="00F65650" w:rsidP="00F65650">
      <w:pPr>
        <w:rPr>
          <w:rFonts w:eastAsia="Calibri"/>
        </w:rPr>
      </w:pPr>
    </w:p>
    <w:p w14:paraId="77692C7C" w14:textId="77777777" w:rsidR="00F65650" w:rsidRDefault="00F65650" w:rsidP="00F65650">
      <w:pPr>
        <w:rPr>
          <w:rFonts w:eastAsia="Calibri"/>
        </w:rPr>
      </w:pPr>
      <w:r w:rsidRPr="005A1A9B">
        <w:rPr>
          <w:rFonts w:eastAsia="Calibri"/>
        </w:rPr>
        <w:t xml:space="preserve">As the creation of the </w:t>
      </w:r>
      <w:r>
        <w:rPr>
          <w:rFonts w:eastAsia="Calibri"/>
        </w:rPr>
        <w:t>client</w:t>
      </w:r>
      <w:r w:rsidRPr="005A1A9B">
        <w:rPr>
          <w:rFonts w:eastAsia="Calibri"/>
        </w:rPr>
        <w:t xml:space="preserve"> account is a technical prerequisite to accepting a payment, it is not possible for the ACT Revenue Office to accept payment pre</w:t>
      </w:r>
      <w:r w:rsidRPr="005A1A9B">
        <w:rPr>
          <w:rFonts w:eastAsia="Calibri"/>
        </w:rPr>
        <w:noBreakHyphen/>
        <w:t>settlement or at the time of title registration</w:t>
      </w:r>
      <w:r>
        <w:rPr>
          <w:rFonts w:eastAsia="Calibri"/>
        </w:rPr>
        <w:t xml:space="preserve"> for a Barrier Free transaction. </w:t>
      </w:r>
    </w:p>
    <w:p w14:paraId="18DC9B38" w14:textId="77777777" w:rsidR="00F65650" w:rsidRDefault="00F65650" w:rsidP="00F65650">
      <w:pPr>
        <w:rPr>
          <w:rFonts w:eastAsia="Calibri"/>
        </w:rPr>
      </w:pPr>
    </w:p>
    <w:p w14:paraId="623B64B8" w14:textId="77777777" w:rsidR="00F65650" w:rsidRDefault="00F65650" w:rsidP="00F65650">
      <w:pPr>
        <w:pStyle w:val="Heading1"/>
        <w:rPr>
          <w:rFonts w:eastAsia="Calibri"/>
        </w:rPr>
      </w:pPr>
      <w:bookmarkStart w:id="7" w:name="_Toc489957736"/>
      <w:bookmarkStart w:id="8" w:name="_Toc492550805"/>
      <w:r>
        <w:rPr>
          <w:rFonts w:eastAsia="Calibri"/>
        </w:rPr>
        <w:t>Lodgement and registration</w:t>
      </w:r>
      <w:r w:rsidRPr="00D822E8">
        <w:rPr>
          <w:rFonts w:eastAsia="Calibri"/>
        </w:rPr>
        <w:t xml:space="preserve"> </w:t>
      </w:r>
      <w:r>
        <w:rPr>
          <w:rFonts w:eastAsia="Calibri"/>
        </w:rPr>
        <w:t>in the Barrier Free model</w:t>
      </w:r>
      <w:bookmarkEnd w:id="7"/>
      <w:bookmarkEnd w:id="8"/>
    </w:p>
    <w:p w14:paraId="1B93DB96" w14:textId="77777777" w:rsidR="00F65650" w:rsidRDefault="00F65650" w:rsidP="00F65650">
      <w:pPr>
        <w:rPr>
          <w:rFonts w:eastAsia="Calibri"/>
        </w:rPr>
      </w:pPr>
      <w:r w:rsidRPr="005A1A9B">
        <w:rPr>
          <w:rFonts w:eastAsia="Calibri"/>
        </w:rPr>
        <w:t xml:space="preserve">After you enter into an agreement to purchase property and settlement has occurred, you </w:t>
      </w:r>
      <w:r>
        <w:rPr>
          <w:rFonts w:eastAsia="Calibri"/>
        </w:rPr>
        <w:t xml:space="preserve">have (or your agent has) </w:t>
      </w:r>
      <w:r w:rsidRPr="005A1A9B">
        <w:rPr>
          <w:rFonts w:eastAsia="Calibri"/>
        </w:rPr>
        <w:t>14 days after settlement to lodge the relevant transfer instrument for title registration with Access Canberra</w:t>
      </w:r>
      <w:r>
        <w:rPr>
          <w:rFonts w:eastAsia="Calibri"/>
        </w:rPr>
        <w:t xml:space="preserve">. The Commissioner may permit a longer period by making a </w:t>
      </w:r>
      <w:r>
        <w:rPr>
          <w:rFonts w:eastAsia="Calibri"/>
        </w:rPr>
        <w:lastRenderedPageBreak/>
        <w:t>notifiable instrument.</w:t>
      </w:r>
    </w:p>
    <w:p w14:paraId="125BBCD2" w14:textId="77777777" w:rsidR="00F65650" w:rsidRDefault="00F65650" w:rsidP="00F65650">
      <w:pPr>
        <w:rPr>
          <w:rFonts w:eastAsia="Calibri"/>
        </w:rPr>
      </w:pPr>
    </w:p>
    <w:p w14:paraId="64678806" w14:textId="77777777" w:rsidR="00F65650" w:rsidRPr="005A1A9B" w:rsidRDefault="00F65650" w:rsidP="00F65650">
      <w:pPr>
        <w:rPr>
          <w:rFonts w:eastAsia="Calibri"/>
        </w:rPr>
      </w:pPr>
      <w:r w:rsidRPr="005A1A9B">
        <w:rPr>
          <w:rFonts w:eastAsia="Calibri"/>
        </w:rPr>
        <w:t xml:space="preserve">Access Canberra also requires the submission of a Buyer Verification </w:t>
      </w:r>
      <w:r>
        <w:rPr>
          <w:rFonts w:eastAsia="Calibri"/>
        </w:rPr>
        <w:t>Declaration</w:t>
      </w:r>
      <w:r w:rsidRPr="005A1A9B">
        <w:rPr>
          <w:rFonts w:eastAsia="Calibri"/>
        </w:rPr>
        <w:t xml:space="preserve"> through an online Smart Form.</w:t>
      </w:r>
    </w:p>
    <w:p w14:paraId="72DA2FCF" w14:textId="77777777" w:rsidR="00F65650" w:rsidRDefault="00F65650" w:rsidP="00F65650">
      <w:pPr>
        <w:rPr>
          <w:rFonts w:eastAsia="Calibri"/>
        </w:rPr>
      </w:pPr>
    </w:p>
    <w:p w14:paraId="37690C0A" w14:textId="77777777" w:rsidR="00F65650" w:rsidRDefault="00F65650" w:rsidP="00F65650">
      <w:pPr>
        <w:rPr>
          <w:rFonts w:eastAsia="Calibri"/>
        </w:rPr>
      </w:pPr>
      <w:r w:rsidRPr="00D60684">
        <w:rPr>
          <w:rFonts w:eastAsia="Calibri"/>
        </w:rPr>
        <w:t xml:space="preserve">Access Canberra will automatically forward information </w:t>
      </w:r>
      <w:r>
        <w:rPr>
          <w:rFonts w:eastAsia="Calibri"/>
        </w:rPr>
        <w:t xml:space="preserve">about the transfer </w:t>
      </w:r>
      <w:r w:rsidRPr="00D60684">
        <w:rPr>
          <w:rFonts w:eastAsia="Calibri"/>
        </w:rPr>
        <w:t>to the ACT Revenue Office upon title registration.</w:t>
      </w:r>
    </w:p>
    <w:p w14:paraId="53FFAE94" w14:textId="77777777" w:rsidR="00F65650" w:rsidRDefault="00F65650" w:rsidP="00F65650">
      <w:pPr>
        <w:pStyle w:val="Heading2"/>
        <w:rPr>
          <w:rFonts w:eastAsia="Calibri"/>
        </w:rPr>
      </w:pPr>
      <w:r>
        <w:rPr>
          <w:rFonts w:eastAsia="Calibri"/>
        </w:rPr>
        <w:t>Self-representation</w:t>
      </w:r>
    </w:p>
    <w:p w14:paraId="12D94088" w14:textId="77777777" w:rsidR="00F65650" w:rsidRPr="00D60684" w:rsidRDefault="00F65650" w:rsidP="00F65650">
      <w:pPr>
        <w:rPr>
          <w:rFonts w:eastAsia="Calibri"/>
        </w:rPr>
      </w:pPr>
      <w:r w:rsidRPr="00D60684">
        <w:rPr>
          <w:rFonts w:eastAsia="Calibri"/>
        </w:rPr>
        <w:t>Buyers not using a solicitor or agent also receive the benefits of the Barrier Free model and are able to complete the forms themselves.</w:t>
      </w:r>
    </w:p>
    <w:p w14:paraId="338D4FF0" w14:textId="77777777" w:rsidR="00F65650" w:rsidRDefault="00F65650" w:rsidP="00F65650">
      <w:pPr>
        <w:pStyle w:val="Heading2"/>
        <w:rPr>
          <w:rFonts w:eastAsia="Calibri"/>
        </w:rPr>
      </w:pPr>
      <w:r>
        <w:rPr>
          <w:rFonts w:eastAsia="Calibri"/>
        </w:rPr>
        <w:t>Identity requirements</w:t>
      </w:r>
    </w:p>
    <w:p w14:paraId="4F407C4F" w14:textId="77777777" w:rsidR="00F65650" w:rsidRDefault="00F65650" w:rsidP="00F65650">
      <w:pPr>
        <w:rPr>
          <w:rFonts w:eastAsia="Calibri"/>
        </w:rPr>
      </w:pPr>
      <w:r>
        <w:rPr>
          <w:rFonts w:eastAsia="Calibri"/>
        </w:rPr>
        <w:t>Each customer for a Barrier Free transaction is required to provide details from one primary identification document and one secondary identification document as listed in the following tables.</w:t>
      </w:r>
    </w:p>
    <w:p w14:paraId="77EDBF88" w14:textId="77777777" w:rsidR="00F65650" w:rsidRDefault="00F65650" w:rsidP="00F65650">
      <w:pPr>
        <w:rPr>
          <w:rFonts w:eastAsia="Calibri"/>
        </w:rPr>
      </w:pPr>
    </w:p>
    <w:p w14:paraId="76D9C6A1" w14:textId="77777777" w:rsidR="00F65650" w:rsidRDefault="00F65650" w:rsidP="00F65650">
      <w:pPr>
        <w:rPr>
          <w:rFonts w:eastAsia="Calibri"/>
        </w:rPr>
      </w:pPr>
      <w:r>
        <w:rPr>
          <w:rFonts w:eastAsia="Calibri"/>
        </w:rPr>
        <w:t>Copies of the documents are not required when submitting the SmartForm – only the identifying numbers need to be entered – but full copies may be subsequently requested by the ACT Revenue Office.</w:t>
      </w:r>
    </w:p>
    <w:p w14:paraId="1BA60301" w14:textId="77777777" w:rsidR="00F65650" w:rsidRDefault="00F65650" w:rsidP="00F65650">
      <w:pPr>
        <w:rPr>
          <w:rFonts w:eastAsia="Calibri"/>
        </w:rPr>
      </w:pPr>
    </w:p>
    <w:p w14:paraId="4ACE0239" w14:textId="77777777" w:rsidR="00F65650" w:rsidRPr="00CE245C" w:rsidRDefault="00F65650" w:rsidP="00F65650">
      <w:pPr>
        <w:rPr>
          <w:rFonts w:eastAsia="Calibri"/>
          <w:u w:val="single"/>
        </w:rPr>
      </w:pPr>
      <w:r>
        <w:rPr>
          <w:rFonts w:eastAsia="Calibri"/>
        </w:rPr>
        <w:t xml:space="preserve">This information must be collected for each transaction in the Barrier Free model in accordance with the </w:t>
      </w:r>
      <w:r w:rsidRPr="00CE245C">
        <w:rPr>
          <w:rFonts w:eastAsia="Calibri"/>
          <w:i/>
        </w:rPr>
        <w:t>Land Titles Act 1925</w:t>
      </w:r>
      <w:r>
        <w:rPr>
          <w:rFonts w:eastAsia="Calibri"/>
        </w:rPr>
        <w:t xml:space="preserve"> (section 178B) and the </w:t>
      </w:r>
      <w:r>
        <w:rPr>
          <w:rFonts w:eastAsia="Calibri"/>
          <w:i/>
        </w:rPr>
        <w:t>Land Titles Regulation 2015.</w:t>
      </w:r>
    </w:p>
    <w:p w14:paraId="5C381BC6" w14:textId="77777777" w:rsidR="00F65650" w:rsidRDefault="00F65650" w:rsidP="00F65650">
      <w:pPr>
        <w:rPr>
          <w:rFonts w:eastAsia="Calibri"/>
        </w:rPr>
      </w:pPr>
    </w:p>
    <w:p w14:paraId="6F8E5750" w14:textId="77777777" w:rsidR="00F65650" w:rsidRDefault="00F65650" w:rsidP="00F65650">
      <w:pPr>
        <w:rPr>
          <w:rFonts w:eastAsia="Calibri"/>
        </w:rPr>
      </w:pPr>
      <w:r>
        <w:rPr>
          <w:rFonts w:eastAsia="Calibri"/>
        </w:rPr>
        <w:t>The documents are as listed in the following tables. The required details from the document are listed in the second column.</w:t>
      </w:r>
    </w:p>
    <w:p w14:paraId="42B896D7" w14:textId="77777777" w:rsidR="00F65650" w:rsidRDefault="00F65650" w:rsidP="00F65650">
      <w:pPr>
        <w:rPr>
          <w:rFonts w:eastAsia="Calibri"/>
        </w:rPr>
      </w:pPr>
    </w:p>
    <w:p w14:paraId="3E7F9CD5" w14:textId="77777777" w:rsidR="00F65650" w:rsidRDefault="00F65650" w:rsidP="00F65650">
      <w:pPr>
        <w:pStyle w:val="Heading3"/>
        <w:rPr>
          <w:rFonts w:eastAsia="Calibri"/>
        </w:rPr>
      </w:pPr>
      <w:r>
        <w:rPr>
          <w:rFonts w:eastAsia="Calibri"/>
        </w:rPr>
        <w:t>Table 1 – Primary identification documents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4545"/>
        <w:gridCol w:w="4546"/>
      </w:tblGrid>
      <w:tr w:rsidR="00F65650" w:rsidRPr="005A1A9B" w14:paraId="6ADBFE33" w14:textId="77777777" w:rsidTr="00F65650">
        <w:trPr>
          <w:cantSplit/>
        </w:trPr>
        <w:tc>
          <w:tcPr>
            <w:tcW w:w="4545" w:type="dxa"/>
            <w:tcBorders>
              <w:top w:val="single" w:sz="4" w:space="0" w:color="0D0D0D"/>
              <w:left w:val="single" w:sz="4" w:space="0" w:color="0D0D0D"/>
              <w:bottom w:val="single" w:sz="4" w:space="0" w:color="0D0D0D"/>
              <w:right w:val="single" w:sz="4" w:space="0" w:color="0D0D0D"/>
            </w:tcBorders>
            <w:shd w:val="clear" w:color="auto" w:fill="D9D9D9"/>
          </w:tcPr>
          <w:p w14:paraId="40B07258" w14:textId="77777777" w:rsidR="00F65650" w:rsidRPr="005A1A9B" w:rsidRDefault="00F65650" w:rsidP="00F65650">
            <w:pPr>
              <w:ind w:left="0"/>
              <w:rPr>
                <w:b/>
              </w:rPr>
            </w:pPr>
            <w:r>
              <w:rPr>
                <w:b/>
              </w:rPr>
              <w:t>Primary identification document</w:t>
            </w:r>
          </w:p>
        </w:tc>
        <w:tc>
          <w:tcPr>
            <w:tcW w:w="4546" w:type="dxa"/>
            <w:tcBorders>
              <w:top w:val="single" w:sz="4" w:space="0" w:color="0D0D0D"/>
              <w:left w:val="single" w:sz="4" w:space="0" w:color="0D0D0D"/>
              <w:bottom w:val="single" w:sz="4" w:space="0" w:color="0D0D0D"/>
              <w:right w:val="single" w:sz="4" w:space="0" w:color="0D0D0D"/>
            </w:tcBorders>
            <w:shd w:val="clear" w:color="auto" w:fill="D9D9D9"/>
          </w:tcPr>
          <w:p w14:paraId="4C1F6113" w14:textId="77777777" w:rsidR="00F65650" w:rsidRDefault="00F65650" w:rsidP="00F65650">
            <w:pPr>
              <w:ind w:left="0"/>
              <w:rPr>
                <w:b/>
              </w:rPr>
            </w:pPr>
            <w:r>
              <w:rPr>
                <w:b/>
              </w:rPr>
              <w:t>Required details</w:t>
            </w:r>
          </w:p>
        </w:tc>
      </w:tr>
      <w:tr w:rsidR="00F65650" w:rsidRPr="005A1A9B" w14:paraId="1891310D" w14:textId="77777777" w:rsidTr="00F65650">
        <w:trPr>
          <w:cantSplit/>
        </w:trPr>
        <w:tc>
          <w:tcPr>
            <w:tcW w:w="4545" w:type="dxa"/>
            <w:tcBorders>
              <w:top w:val="single" w:sz="4" w:space="0" w:color="0D0D0D"/>
              <w:left w:val="single" w:sz="4" w:space="0" w:color="0D0D0D"/>
              <w:bottom w:val="single" w:sz="4" w:space="0" w:color="0D0D0D"/>
              <w:right w:val="single" w:sz="4" w:space="0" w:color="0D0D0D"/>
            </w:tcBorders>
            <w:shd w:val="clear" w:color="auto" w:fill="auto"/>
          </w:tcPr>
          <w:p w14:paraId="14B3E4BD" w14:textId="77777777" w:rsidR="00F65650" w:rsidRPr="005A1A9B" w:rsidRDefault="00F65650" w:rsidP="00F65650">
            <w:pPr>
              <w:ind w:left="0"/>
            </w:pPr>
            <w:r>
              <w:t>Birth certificate (Australian or foreign)</w:t>
            </w:r>
          </w:p>
        </w:tc>
        <w:tc>
          <w:tcPr>
            <w:tcW w:w="4546" w:type="dxa"/>
            <w:tcBorders>
              <w:top w:val="single" w:sz="4" w:space="0" w:color="0D0D0D"/>
              <w:left w:val="single" w:sz="4" w:space="0" w:color="0D0D0D"/>
              <w:bottom w:val="single" w:sz="4" w:space="0" w:color="0D0D0D"/>
              <w:right w:val="single" w:sz="4" w:space="0" w:color="0D0D0D"/>
            </w:tcBorders>
          </w:tcPr>
          <w:p w14:paraId="545AE407" w14:textId="77777777" w:rsidR="00F65650" w:rsidRDefault="00F65650" w:rsidP="00F65650">
            <w:pPr>
              <w:pStyle w:val="ListParagraph"/>
              <w:widowControl/>
              <w:numPr>
                <w:ilvl w:val="0"/>
                <w:numId w:val="40"/>
              </w:numPr>
              <w:suppressAutoHyphens w:val="0"/>
              <w:autoSpaceDE/>
              <w:autoSpaceDN/>
              <w:contextualSpacing/>
              <w:textAlignment w:val="auto"/>
            </w:pPr>
            <w:r>
              <w:t>Issuing jurisdiction</w:t>
            </w:r>
          </w:p>
          <w:p w14:paraId="3DEAB151" w14:textId="77777777" w:rsidR="00F65650" w:rsidRDefault="00F65650" w:rsidP="00F65650">
            <w:pPr>
              <w:pStyle w:val="ListParagraph"/>
              <w:widowControl/>
              <w:numPr>
                <w:ilvl w:val="0"/>
                <w:numId w:val="40"/>
              </w:numPr>
              <w:suppressAutoHyphens w:val="0"/>
              <w:autoSpaceDE/>
              <w:autoSpaceDN/>
              <w:contextualSpacing/>
              <w:textAlignment w:val="auto"/>
            </w:pPr>
            <w:r>
              <w:t>Date of birth</w:t>
            </w:r>
          </w:p>
          <w:p w14:paraId="6FA142EB" w14:textId="77777777" w:rsidR="00F65650" w:rsidRPr="00F33A91" w:rsidRDefault="00F65650" w:rsidP="00F65650">
            <w:pPr>
              <w:pStyle w:val="ListParagraph"/>
              <w:widowControl/>
              <w:numPr>
                <w:ilvl w:val="0"/>
                <w:numId w:val="40"/>
              </w:numPr>
              <w:suppressAutoHyphens w:val="0"/>
              <w:autoSpaceDE/>
              <w:autoSpaceDN/>
              <w:contextualSpacing/>
              <w:textAlignment w:val="auto"/>
            </w:pPr>
            <w:r>
              <w:t>Birth certificate registration number</w:t>
            </w:r>
          </w:p>
        </w:tc>
      </w:tr>
      <w:tr w:rsidR="00F65650" w:rsidRPr="005A1A9B" w14:paraId="12160E86" w14:textId="77777777" w:rsidTr="00F65650">
        <w:trPr>
          <w:cantSplit/>
        </w:trPr>
        <w:tc>
          <w:tcPr>
            <w:tcW w:w="4545" w:type="dxa"/>
            <w:tcBorders>
              <w:top w:val="single" w:sz="4" w:space="0" w:color="0D0D0D"/>
              <w:left w:val="single" w:sz="4" w:space="0" w:color="0D0D0D"/>
              <w:bottom w:val="single" w:sz="4" w:space="0" w:color="0D0D0D"/>
              <w:right w:val="single" w:sz="4" w:space="0" w:color="0D0D0D"/>
            </w:tcBorders>
            <w:shd w:val="clear" w:color="auto" w:fill="auto"/>
          </w:tcPr>
          <w:p w14:paraId="151386FB" w14:textId="77777777" w:rsidR="00F65650" w:rsidRPr="00342D8B" w:rsidRDefault="00F65650" w:rsidP="00F65650">
            <w:pPr>
              <w:ind w:left="0"/>
            </w:pPr>
            <w:r w:rsidRPr="00342D8B">
              <w:t>Current passport (Australian or foreign)</w:t>
            </w:r>
          </w:p>
        </w:tc>
        <w:tc>
          <w:tcPr>
            <w:tcW w:w="4546" w:type="dxa"/>
            <w:tcBorders>
              <w:top w:val="single" w:sz="4" w:space="0" w:color="0D0D0D"/>
              <w:left w:val="single" w:sz="4" w:space="0" w:color="0D0D0D"/>
              <w:bottom w:val="single" w:sz="4" w:space="0" w:color="0D0D0D"/>
              <w:right w:val="single" w:sz="4" w:space="0" w:color="0D0D0D"/>
            </w:tcBorders>
          </w:tcPr>
          <w:p w14:paraId="292E1B0F" w14:textId="77777777" w:rsidR="00F65650" w:rsidRPr="00342D8B" w:rsidRDefault="00F65650" w:rsidP="00F65650">
            <w:pPr>
              <w:pStyle w:val="ListParagraph"/>
              <w:widowControl/>
              <w:numPr>
                <w:ilvl w:val="0"/>
                <w:numId w:val="40"/>
              </w:numPr>
              <w:suppressAutoHyphens w:val="0"/>
              <w:autoSpaceDE/>
              <w:autoSpaceDN/>
              <w:contextualSpacing/>
              <w:textAlignment w:val="auto"/>
            </w:pPr>
            <w:r w:rsidRPr="00342D8B">
              <w:t>Issuing jurisdiction</w:t>
            </w:r>
          </w:p>
          <w:p w14:paraId="68D0DA0D" w14:textId="77777777" w:rsidR="00F65650" w:rsidRPr="00342D8B" w:rsidRDefault="00F65650" w:rsidP="00F65650">
            <w:pPr>
              <w:pStyle w:val="ListParagraph"/>
              <w:widowControl/>
              <w:numPr>
                <w:ilvl w:val="0"/>
                <w:numId w:val="40"/>
              </w:numPr>
              <w:suppressAutoHyphens w:val="0"/>
              <w:autoSpaceDE/>
              <w:autoSpaceDN/>
              <w:contextualSpacing/>
              <w:textAlignment w:val="auto"/>
            </w:pPr>
            <w:r w:rsidRPr="00342D8B">
              <w:t>Date of birth</w:t>
            </w:r>
          </w:p>
          <w:p w14:paraId="2F4A0921" w14:textId="77777777" w:rsidR="00F65650" w:rsidRPr="00342D8B" w:rsidRDefault="00F65650" w:rsidP="00F65650">
            <w:pPr>
              <w:pStyle w:val="ListParagraph"/>
              <w:widowControl/>
              <w:numPr>
                <w:ilvl w:val="0"/>
                <w:numId w:val="40"/>
              </w:numPr>
              <w:suppressAutoHyphens w:val="0"/>
              <w:autoSpaceDE/>
              <w:autoSpaceDN/>
              <w:contextualSpacing/>
              <w:textAlignment w:val="auto"/>
            </w:pPr>
            <w:r w:rsidRPr="00342D8B">
              <w:t>Passport number</w:t>
            </w:r>
          </w:p>
          <w:p w14:paraId="464CF9C0" w14:textId="77777777" w:rsidR="00F65650" w:rsidRPr="00342D8B" w:rsidRDefault="00F65650" w:rsidP="00F65650">
            <w:pPr>
              <w:pStyle w:val="ListParagraph"/>
              <w:widowControl/>
              <w:numPr>
                <w:ilvl w:val="0"/>
                <w:numId w:val="40"/>
              </w:numPr>
              <w:suppressAutoHyphens w:val="0"/>
              <w:autoSpaceDE/>
              <w:autoSpaceDN/>
              <w:contextualSpacing/>
              <w:textAlignment w:val="auto"/>
            </w:pPr>
            <w:r w:rsidRPr="00342D8B">
              <w:t>Expiry date</w:t>
            </w:r>
          </w:p>
        </w:tc>
      </w:tr>
      <w:tr w:rsidR="00F65650" w:rsidRPr="005A1A9B" w14:paraId="341FBA16" w14:textId="77777777" w:rsidTr="00F65650">
        <w:trPr>
          <w:cantSplit/>
        </w:trPr>
        <w:tc>
          <w:tcPr>
            <w:tcW w:w="4545" w:type="dxa"/>
            <w:tcBorders>
              <w:top w:val="single" w:sz="4" w:space="0" w:color="0D0D0D"/>
              <w:left w:val="single" w:sz="4" w:space="0" w:color="0D0D0D"/>
              <w:bottom w:val="single" w:sz="4" w:space="0" w:color="0D0D0D"/>
              <w:right w:val="single" w:sz="4" w:space="0" w:color="0D0D0D"/>
            </w:tcBorders>
            <w:shd w:val="clear" w:color="auto" w:fill="auto"/>
          </w:tcPr>
          <w:p w14:paraId="7337E100" w14:textId="77777777" w:rsidR="00F65650" w:rsidRPr="00342D8B" w:rsidRDefault="00F65650" w:rsidP="00F65650">
            <w:pPr>
              <w:ind w:left="0"/>
            </w:pPr>
            <w:r w:rsidRPr="00342D8B">
              <w:t>Australian citizenship certificate</w:t>
            </w:r>
          </w:p>
        </w:tc>
        <w:tc>
          <w:tcPr>
            <w:tcW w:w="4546" w:type="dxa"/>
            <w:tcBorders>
              <w:top w:val="single" w:sz="4" w:space="0" w:color="0D0D0D"/>
              <w:left w:val="single" w:sz="4" w:space="0" w:color="0D0D0D"/>
              <w:bottom w:val="single" w:sz="4" w:space="0" w:color="0D0D0D"/>
              <w:right w:val="single" w:sz="4" w:space="0" w:color="0D0D0D"/>
            </w:tcBorders>
          </w:tcPr>
          <w:p w14:paraId="41BFB14A" w14:textId="77777777" w:rsidR="00F65650" w:rsidRDefault="00F65650" w:rsidP="00F65650">
            <w:pPr>
              <w:pStyle w:val="ListParagraph"/>
              <w:widowControl/>
              <w:numPr>
                <w:ilvl w:val="0"/>
                <w:numId w:val="40"/>
              </w:numPr>
              <w:suppressAutoHyphens w:val="0"/>
              <w:autoSpaceDE/>
              <w:autoSpaceDN/>
              <w:contextualSpacing/>
              <w:textAlignment w:val="auto"/>
            </w:pPr>
            <w:r w:rsidRPr="00342D8B">
              <w:t>Certificate number</w:t>
            </w:r>
          </w:p>
          <w:p w14:paraId="72013A1F" w14:textId="77777777" w:rsidR="00F65650" w:rsidRPr="00342D8B" w:rsidRDefault="00F65650" w:rsidP="00F65650">
            <w:pPr>
              <w:pStyle w:val="ListParagraph"/>
              <w:widowControl/>
              <w:numPr>
                <w:ilvl w:val="0"/>
                <w:numId w:val="40"/>
              </w:numPr>
              <w:suppressAutoHyphens w:val="0"/>
              <w:autoSpaceDE/>
              <w:autoSpaceDN/>
              <w:contextualSpacing/>
              <w:textAlignment w:val="auto"/>
            </w:pPr>
            <w:r>
              <w:t>Date of issue</w:t>
            </w:r>
          </w:p>
        </w:tc>
      </w:tr>
      <w:tr w:rsidR="00F65650" w:rsidRPr="005A1A9B" w14:paraId="32000A3F" w14:textId="77777777" w:rsidTr="00F65650">
        <w:trPr>
          <w:cantSplit/>
        </w:trPr>
        <w:tc>
          <w:tcPr>
            <w:tcW w:w="4545" w:type="dxa"/>
            <w:tcBorders>
              <w:top w:val="single" w:sz="4" w:space="0" w:color="0D0D0D"/>
              <w:left w:val="single" w:sz="4" w:space="0" w:color="0D0D0D"/>
              <w:bottom w:val="single" w:sz="4" w:space="0" w:color="0D0D0D"/>
              <w:right w:val="single" w:sz="4" w:space="0" w:color="0D0D0D"/>
            </w:tcBorders>
            <w:shd w:val="clear" w:color="auto" w:fill="auto"/>
          </w:tcPr>
          <w:p w14:paraId="4032BD87" w14:textId="77777777" w:rsidR="00F65650" w:rsidRDefault="00F65650" w:rsidP="00F65650">
            <w:pPr>
              <w:ind w:left="0"/>
            </w:pPr>
            <w:proofErr w:type="spellStart"/>
            <w:r>
              <w:t>ImmiCard</w:t>
            </w:r>
            <w:proofErr w:type="spellEnd"/>
            <w:r>
              <w:t xml:space="preserve"> (issued by the Commonwealth as evidence of immigration status)</w:t>
            </w:r>
          </w:p>
        </w:tc>
        <w:tc>
          <w:tcPr>
            <w:tcW w:w="4546" w:type="dxa"/>
            <w:tcBorders>
              <w:top w:val="single" w:sz="4" w:space="0" w:color="0D0D0D"/>
              <w:left w:val="single" w:sz="4" w:space="0" w:color="0D0D0D"/>
              <w:bottom w:val="single" w:sz="4" w:space="0" w:color="0D0D0D"/>
              <w:right w:val="single" w:sz="4" w:space="0" w:color="0D0D0D"/>
            </w:tcBorders>
          </w:tcPr>
          <w:p w14:paraId="759DAE38" w14:textId="77777777" w:rsidR="00F65650" w:rsidRDefault="00F65650" w:rsidP="00F65650">
            <w:pPr>
              <w:pStyle w:val="ListParagraph"/>
              <w:widowControl/>
              <w:numPr>
                <w:ilvl w:val="0"/>
                <w:numId w:val="40"/>
              </w:numPr>
              <w:suppressAutoHyphens w:val="0"/>
              <w:autoSpaceDE/>
              <w:autoSpaceDN/>
              <w:contextualSpacing/>
              <w:textAlignment w:val="auto"/>
            </w:pPr>
            <w:r>
              <w:t>Card number</w:t>
            </w:r>
          </w:p>
          <w:p w14:paraId="3D3193CE" w14:textId="77777777" w:rsidR="00F65650" w:rsidRDefault="00F65650" w:rsidP="00F65650">
            <w:pPr>
              <w:pStyle w:val="ListParagraph"/>
              <w:widowControl/>
              <w:numPr>
                <w:ilvl w:val="0"/>
                <w:numId w:val="40"/>
              </w:numPr>
              <w:suppressAutoHyphens w:val="0"/>
              <w:autoSpaceDE/>
              <w:autoSpaceDN/>
              <w:contextualSpacing/>
              <w:textAlignment w:val="auto"/>
            </w:pPr>
            <w:r>
              <w:t>Expiry date</w:t>
            </w:r>
          </w:p>
        </w:tc>
      </w:tr>
    </w:tbl>
    <w:p w14:paraId="4695E682" w14:textId="77777777" w:rsidR="00F65650" w:rsidRDefault="00F65650" w:rsidP="00F65650">
      <w:pPr>
        <w:rPr>
          <w:rFonts w:eastAsia="Calibri"/>
        </w:rPr>
      </w:pPr>
    </w:p>
    <w:p w14:paraId="7FB8D7F9" w14:textId="77777777" w:rsidR="00F65650" w:rsidRDefault="00F65650">
      <w:pPr>
        <w:widowControl/>
        <w:suppressAutoHyphens w:val="0"/>
        <w:autoSpaceDE/>
        <w:spacing w:after="200" w:line="276" w:lineRule="auto"/>
        <w:ind w:left="0"/>
        <w:jc w:val="left"/>
        <w:rPr>
          <w:rFonts w:eastAsia="Calibri"/>
          <w:b/>
          <w:bCs/>
          <w:i/>
          <w:iCs/>
          <w:sz w:val="22"/>
          <w:szCs w:val="22"/>
        </w:rPr>
      </w:pPr>
      <w:r>
        <w:rPr>
          <w:rFonts w:eastAsia="Calibri"/>
        </w:rPr>
        <w:br w:type="page"/>
      </w:r>
    </w:p>
    <w:p w14:paraId="714267FC" w14:textId="77777777" w:rsidR="00F65650" w:rsidRDefault="00F65650" w:rsidP="00F65650">
      <w:pPr>
        <w:rPr>
          <w:rFonts w:eastAsia="Calibri"/>
        </w:rPr>
      </w:pPr>
    </w:p>
    <w:p w14:paraId="1B9C2A8E" w14:textId="77777777" w:rsidR="00F65650" w:rsidRDefault="00F65650" w:rsidP="00F65650">
      <w:pPr>
        <w:pStyle w:val="Heading3"/>
        <w:rPr>
          <w:rFonts w:eastAsia="Calibri"/>
        </w:rPr>
      </w:pPr>
      <w:r>
        <w:rPr>
          <w:rFonts w:eastAsia="Calibri"/>
        </w:rPr>
        <w:t>Table 2 – Secondary identification documents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4536"/>
        <w:gridCol w:w="4593"/>
      </w:tblGrid>
      <w:tr w:rsidR="00F65650" w14:paraId="229503E3" w14:textId="77777777" w:rsidTr="00F65650">
        <w:trPr>
          <w:cantSplit/>
          <w:tblHeader/>
        </w:trPr>
        <w:tc>
          <w:tcPr>
            <w:tcW w:w="4536" w:type="dxa"/>
            <w:tcBorders>
              <w:top w:val="single" w:sz="4" w:space="0" w:color="0D0D0D"/>
              <w:left w:val="single" w:sz="4" w:space="0" w:color="0D0D0D"/>
              <w:bottom w:val="single" w:sz="4" w:space="0" w:color="0D0D0D"/>
              <w:right w:val="single" w:sz="4" w:space="0" w:color="0D0D0D"/>
            </w:tcBorders>
            <w:shd w:val="clear" w:color="auto" w:fill="D9D9D9"/>
          </w:tcPr>
          <w:p w14:paraId="511954BD" w14:textId="77777777" w:rsidR="00F65650" w:rsidRPr="005A1A9B" w:rsidRDefault="00F65650" w:rsidP="00F65650">
            <w:pPr>
              <w:ind w:left="0"/>
              <w:rPr>
                <w:b/>
              </w:rPr>
            </w:pPr>
            <w:r>
              <w:rPr>
                <w:b/>
              </w:rPr>
              <w:t>Secondary identification document</w:t>
            </w:r>
          </w:p>
        </w:tc>
        <w:tc>
          <w:tcPr>
            <w:tcW w:w="4593" w:type="dxa"/>
            <w:tcBorders>
              <w:top w:val="single" w:sz="4" w:space="0" w:color="0D0D0D"/>
              <w:left w:val="single" w:sz="4" w:space="0" w:color="0D0D0D"/>
              <w:bottom w:val="single" w:sz="4" w:space="0" w:color="0D0D0D"/>
              <w:right w:val="single" w:sz="4" w:space="0" w:color="0D0D0D"/>
            </w:tcBorders>
            <w:shd w:val="clear" w:color="auto" w:fill="D9D9D9"/>
          </w:tcPr>
          <w:p w14:paraId="53D4B79E" w14:textId="77777777" w:rsidR="00F65650" w:rsidRDefault="00F65650" w:rsidP="007F0BD4">
            <w:pPr>
              <w:rPr>
                <w:b/>
              </w:rPr>
            </w:pPr>
            <w:r>
              <w:rPr>
                <w:b/>
              </w:rPr>
              <w:t>Required details</w:t>
            </w:r>
          </w:p>
        </w:tc>
      </w:tr>
      <w:tr w:rsidR="00F65650" w:rsidRPr="005A1A9B" w14:paraId="0A33936C" w14:textId="77777777" w:rsidTr="00F65650">
        <w:trPr>
          <w:cantSplit/>
        </w:trPr>
        <w:tc>
          <w:tcPr>
            <w:tcW w:w="4536" w:type="dxa"/>
            <w:tcBorders>
              <w:top w:val="single" w:sz="4" w:space="0" w:color="0D0D0D"/>
              <w:left w:val="single" w:sz="4" w:space="0" w:color="0D0D0D"/>
              <w:bottom w:val="single" w:sz="4" w:space="0" w:color="0D0D0D"/>
              <w:right w:val="single" w:sz="4" w:space="0" w:color="0D0D0D"/>
            </w:tcBorders>
            <w:shd w:val="clear" w:color="auto" w:fill="auto"/>
          </w:tcPr>
          <w:p w14:paraId="49C2ECFD" w14:textId="77777777" w:rsidR="00F65650" w:rsidRPr="005A1A9B" w:rsidRDefault="00F65650" w:rsidP="00F65650">
            <w:pPr>
              <w:ind w:left="0"/>
            </w:pPr>
            <w:r>
              <w:t>Birth certificate (Australian or foreign)</w:t>
            </w:r>
          </w:p>
        </w:tc>
        <w:tc>
          <w:tcPr>
            <w:tcW w:w="4593" w:type="dxa"/>
            <w:tcBorders>
              <w:top w:val="single" w:sz="4" w:space="0" w:color="0D0D0D"/>
              <w:left w:val="single" w:sz="4" w:space="0" w:color="0D0D0D"/>
              <w:bottom w:val="single" w:sz="4" w:space="0" w:color="0D0D0D"/>
              <w:right w:val="single" w:sz="4" w:space="0" w:color="0D0D0D"/>
            </w:tcBorders>
          </w:tcPr>
          <w:p w14:paraId="560A715D" w14:textId="77777777" w:rsidR="00F65650" w:rsidRDefault="00F65650" w:rsidP="00F65650">
            <w:pPr>
              <w:pStyle w:val="ListParagraph"/>
              <w:widowControl/>
              <w:numPr>
                <w:ilvl w:val="0"/>
                <w:numId w:val="35"/>
              </w:numPr>
              <w:suppressAutoHyphens w:val="0"/>
              <w:autoSpaceDE/>
              <w:autoSpaceDN/>
              <w:contextualSpacing/>
              <w:textAlignment w:val="auto"/>
            </w:pPr>
            <w:r>
              <w:t>Issuing jurisdiction</w:t>
            </w:r>
          </w:p>
          <w:p w14:paraId="69ABD340" w14:textId="77777777" w:rsidR="00F65650" w:rsidRDefault="00F65650" w:rsidP="00F65650">
            <w:pPr>
              <w:pStyle w:val="ListParagraph"/>
              <w:widowControl/>
              <w:numPr>
                <w:ilvl w:val="0"/>
                <w:numId w:val="35"/>
              </w:numPr>
              <w:suppressAutoHyphens w:val="0"/>
              <w:autoSpaceDE/>
              <w:autoSpaceDN/>
              <w:contextualSpacing/>
              <w:textAlignment w:val="auto"/>
            </w:pPr>
            <w:r>
              <w:t>Date of birth</w:t>
            </w:r>
          </w:p>
          <w:p w14:paraId="7FD42F9D" w14:textId="77777777" w:rsidR="00F65650" w:rsidRPr="00F33A91" w:rsidRDefault="00F65650" w:rsidP="00F65650">
            <w:pPr>
              <w:pStyle w:val="ListParagraph"/>
              <w:widowControl/>
              <w:numPr>
                <w:ilvl w:val="0"/>
                <w:numId w:val="35"/>
              </w:numPr>
              <w:suppressAutoHyphens w:val="0"/>
              <w:autoSpaceDE/>
              <w:autoSpaceDN/>
              <w:contextualSpacing/>
              <w:textAlignment w:val="auto"/>
            </w:pPr>
            <w:r>
              <w:t>Birth certificate registration number</w:t>
            </w:r>
          </w:p>
        </w:tc>
      </w:tr>
      <w:tr w:rsidR="00F65650" w:rsidRPr="005A1A9B" w14:paraId="1F8A72DA" w14:textId="77777777" w:rsidTr="00F65650">
        <w:trPr>
          <w:cantSplit/>
        </w:trPr>
        <w:tc>
          <w:tcPr>
            <w:tcW w:w="4536" w:type="dxa"/>
            <w:tcBorders>
              <w:top w:val="single" w:sz="4" w:space="0" w:color="0D0D0D"/>
              <w:left w:val="single" w:sz="4" w:space="0" w:color="0D0D0D"/>
              <w:bottom w:val="single" w:sz="4" w:space="0" w:color="0D0D0D"/>
              <w:right w:val="single" w:sz="4" w:space="0" w:color="0D0D0D"/>
            </w:tcBorders>
            <w:shd w:val="clear" w:color="auto" w:fill="auto"/>
          </w:tcPr>
          <w:p w14:paraId="77AB5399" w14:textId="77777777" w:rsidR="00F65650" w:rsidRPr="005A1A9B" w:rsidRDefault="00F65650" w:rsidP="00F65650">
            <w:pPr>
              <w:ind w:left="0"/>
            </w:pPr>
            <w:r>
              <w:t>Current passport (Australian or foreign)</w:t>
            </w:r>
          </w:p>
        </w:tc>
        <w:tc>
          <w:tcPr>
            <w:tcW w:w="4593" w:type="dxa"/>
            <w:tcBorders>
              <w:top w:val="single" w:sz="4" w:space="0" w:color="0D0D0D"/>
              <w:left w:val="single" w:sz="4" w:space="0" w:color="0D0D0D"/>
              <w:bottom w:val="single" w:sz="4" w:space="0" w:color="0D0D0D"/>
              <w:right w:val="single" w:sz="4" w:space="0" w:color="0D0D0D"/>
            </w:tcBorders>
          </w:tcPr>
          <w:p w14:paraId="02B30BB9" w14:textId="77777777" w:rsidR="00F65650" w:rsidRDefault="00F65650" w:rsidP="00F65650">
            <w:pPr>
              <w:pStyle w:val="ListParagraph"/>
              <w:widowControl/>
              <w:numPr>
                <w:ilvl w:val="0"/>
                <w:numId w:val="35"/>
              </w:numPr>
              <w:suppressAutoHyphens w:val="0"/>
              <w:autoSpaceDE/>
              <w:autoSpaceDN/>
              <w:contextualSpacing/>
              <w:textAlignment w:val="auto"/>
            </w:pPr>
            <w:r>
              <w:t>Issuing jurisdiction</w:t>
            </w:r>
          </w:p>
          <w:p w14:paraId="29D5647E" w14:textId="77777777" w:rsidR="00F65650" w:rsidRDefault="00F65650" w:rsidP="00F65650">
            <w:pPr>
              <w:pStyle w:val="ListParagraph"/>
              <w:widowControl/>
              <w:numPr>
                <w:ilvl w:val="0"/>
                <w:numId w:val="35"/>
              </w:numPr>
              <w:suppressAutoHyphens w:val="0"/>
              <w:autoSpaceDE/>
              <w:autoSpaceDN/>
              <w:contextualSpacing/>
              <w:textAlignment w:val="auto"/>
            </w:pPr>
            <w:r>
              <w:t>Date of birth</w:t>
            </w:r>
          </w:p>
          <w:p w14:paraId="7A7CF6A9" w14:textId="77777777" w:rsidR="00F65650" w:rsidRDefault="00F65650" w:rsidP="00F65650">
            <w:pPr>
              <w:pStyle w:val="ListParagraph"/>
              <w:widowControl/>
              <w:numPr>
                <w:ilvl w:val="0"/>
                <w:numId w:val="35"/>
              </w:numPr>
              <w:suppressAutoHyphens w:val="0"/>
              <w:autoSpaceDE/>
              <w:autoSpaceDN/>
              <w:contextualSpacing/>
              <w:textAlignment w:val="auto"/>
            </w:pPr>
            <w:r>
              <w:t>Passport number</w:t>
            </w:r>
          </w:p>
          <w:p w14:paraId="270FADC7" w14:textId="77777777" w:rsidR="00F65650" w:rsidRPr="00F33A91" w:rsidRDefault="00F65650" w:rsidP="00F65650">
            <w:pPr>
              <w:pStyle w:val="ListParagraph"/>
              <w:widowControl/>
              <w:numPr>
                <w:ilvl w:val="0"/>
                <w:numId w:val="35"/>
              </w:numPr>
              <w:suppressAutoHyphens w:val="0"/>
              <w:autoSpaceDE/>
              <w:autoSpaceDN/>
              <w:contextualSpacing/>
              <w:textAlignment w:val="auto"/>
            </w:pPr>
            <w:r>
              <w:t>Expiry date</w:t>
            </w:r>
          </w:p>
        </w:tc>
      </w:tr>
      <w:tr w:rsidR="00F65650" w:rsidRPr="005A1A9B" w14:paraId="5A2DF3CA" w14:textId="77777777" w:rsidTr="00F65650">
        <w:trPr>
          <w:cantSplit/>
        </w:trPr>
        <w:tc>
          <w:tcPr>
            <w:tcW w:w="4536" w:type="dxa"/>
            <w:tcBorders>
              <w:top w:val="single" w:sz="4" w:space="0" w:color="0D0D0D"/>
              <w:left w:val="single" w:sz="4" w:space="0" w:color="0D0D0D"/>
              <w:bottom w:val="single" w:sz="4" w:space="0" w:color="0D0D0D"/>
              <w:right w:val="single" w:sz="4" w:space="0" w:color="0D0D0D"/>
            </w:tcBorders>
            <w:shd w:val="clear" w:color="auto" w:fill="auto"/>
          </w:tcPr>
          <w:p w14:paraId="1D64DA95" w14:textId="77777777" w:rsidR="00F65650" w:rsidRPr="00342D8B" w:rsidRDefault="00F65650" w:rsidP="00F65650">
            <w:pPr>
              <w:ind w:left="0"/>
            </w:pPr>
            <w:r w:rsidRPr="00342D8B">
              <w:t>Australian citizenship certificate</w:t>
            </w:r>
          </w:p>
        </w:tc>
        <w:tc>
          <w:tcPr>
            <w:tcW w:w="4593" w:type="dxa"/>
            <w:tcBorders>
              <w:top w:val="single" w:sz="4" w:space="0" w:color="0D0D0D"/>
              <w:left w:val="single" w:sz="4" w:space="0" w:color="0D0D0D"/>
              <w:bottom w:val="single" w:sz="4" w:space="0" w:color="0D0D0D"/>
              <w:right w:val="single" w:sz="4" w:space="0" w:color="0D0D0D"/>
            </w:tcBorders>
          </w:tcPr>
          <w:p w14:paraId="4122413F" w14:textId="77777777" w:rsidR="00F65650" w:rsidRPr="00342D8B" w:rsidRDefault="00F65650" w:rsidP="00F65650">
            <w:pPr>
              <w:pStyle w:val="ListParagraph"/>
              <w:widowControl/>
              <w:numPr>
                <w:ilvl w:val="0"/>
                <w:numId w:val="35"/>
              </w:numPr>
              <w:suppressAutoHyphens w:val="0"/>
              <w:autoSpaceDE/>
              <w:autoSpaceDN/>
              <w:contextualSpacing/>
              <w:textAlignment w:val="auto"/>
            </w:pPr>
            <w:r w:rsidRPr="00342D8B">
              <w:t>Certificate number</w:t>
            </w:r>
          </w:p>
        </w:tc>
      </w:tr>
      <w:tr w:rsidR="00F65650" w:rsidRPr="005A1A9B" w14:paraId="4A44A247" w14:textId="77777777" w:rsidTr="00F65650">
        <w:trPr>
          <w:cantSplit/>
        </w:trPr>
        <w:tc>
          <w:tcPr>
            <w:tcW w:w="4536" w:type="dxa"/>
            <w:tcBorders>
              <w:top w:val="single" w:sz="4" w:space="0" w:color="0D0D0D"/>
              <w:left w:val="single" w:sz="4" w:space="0" w:color="0D0D0D"/>
              <w:bottom w:val="single" w:sz="4" w:space="0" w:color="0D0D0D"/>
              <w:right w:val="single" w:sz="4" w:space="0" w:color="0D0D0D"/>
            </w:tcBorders>
            <w:shd w:val="clear" w:color="auto" w:fill="auto"/>
          </w:tcPr>
          <w:p w14:paraId="2FEE676C" w14:textId="77777777" w:rsidR="00F65650" w:rsidRPr="005A1A9B" w:rsidRDefault="00F65650" w:rsidP="00F65650">
            <w:pPr>
              <w:ind w:left="0"/>
            </w:pPr>
            <w:r>
              <w:t>Australian driver licence</w:t>
            </w:r>
          </w:p>
        </w:tc>
        <w:tc>
          <w:tcPr>
            <w:tcW w:w="4593" w:type="dxa"/>
            <w:tcBorders>
              <w:top w:val="single" w:sz="4" w:space="0" w:color="0D0D0D"/>
              <w:left w:val="single" w:sz="4" w:space="0" w:color="0D0D0D"/>
              <w:bottom w:val="single" w:sz="4" w:space="0" w:color="0D0D0D"/>
              <w:right w:val="single" w:sz="4" w:space="0" w:color="0D0D0D"/>
            </w:tcBorders>
          </w:tcPr>
          <w:p w14:paraId="6802684F" w14:textId="77777777" w:rsidR="00F65650" w:rsidRDefault="00F65650" w:rsidP="00F65650">
            <w:pPr>
              <w:pStyle w:val="ListParagraph"/>
              <w:widowControl/>
              <w:numPr>
                <w:ilvl w:val="0"/>
                <w:numId w:val="35"/>
              </w:numPr>
              <w:suppressAutoHyphens w:val="0"/>
              <w:autoSpaceDE/>
              <w:autoSpaceDN/>
              <w:contextualSpacing/>
              <w:textAlignment w:val="auto"/>
            </w:pPr>
            <w:r>
              <w:t>Issuing jurisdiction</w:t>
            </w:r>
          </w:p>
          <w:p w14:paraId="3F6882E1" w14:textId="77777777" w:rsidR="00F65650" w:rsidRDefault="00F65650" w:rsidP="00F65650">
            <w:pPr>
              <w:pStyle w:val="ListParagraph"/>
              <w:widowControl/>
              <w:numPr>
                <w:ilvl w:val="0"/>
                <w:numId w:val="35"/>
              </w:numPr>
              <w:suppressAutoHyphens w:val="0"/>
              <w:autoSpaceDE/>
              <w:autoSpaceDN/>
              <w:contextualSpacing/>
              <w:textAlignment w:val="auto"/>
            </w:pPr>
            <w:r>
              <w:t>Date of birth</w:t>
            </w:r>
          </w:p>
          <w:p w14:paraId="2771C5F6" w14:textId="77777777" w:rsidR="00F65650" w:rsidRDefault="00F65650" w:rsidP="00F65650">
            <w:pPr>
              <w:pStyle w:val="ListParagraph"/>
              <w:widowControl/>
              <w:numPr>
                <w:ilvl w:val="0"/>
                <w:numId w:val="35"/>
              </w:numPr>
              <w:suppressAutoHyphens w:val="0"/>
              <w:autoSpaceDE/>
              <w:autoSpaceDN/>
              <w:contextualSpacing/>
              <w:textAlignment w:val="auto"/>
            </w:pPr>
            <w:r>
              <w:t>Licence number</w:t>
            </w:r>
          </w:p>
          <w:p w14:paraId="52C42823" w14:textId="77777777" w:rsidR="00F65650" w:rsidRPr="00F33A91" w:rsidRDefault="00F65650" w:rsidP="00F65650">
            <w:pPr>
              <w:pStyle w:val="ListParagraph"/>
              <w:widowControl/>
              <w:numPr>
                <w:ilvl w:val="0"/>
                <w:numId w:val="35"/>
              </w:numPr>
              <w:suppressAutoHyphens w:val="0"/>
              <w:autoSpaceDE/>
              <w:autoSpaceDN/>
              <w:contextualSpacing/>
              <w:textAlignment w:val="auto"/>
            </w:pPr>
            <w:r w:rsidRPr="00F33A91">
              <w:t>Expiry date</w:t>
            </w:r>
          </w:p>
        </w:tc>
      </w:tr>
      <w:tr w:rsidR="00F65650" w:rsidRPr="005A1A9B" w14:paraId="3480E351" w14:textId="77777777" w:rsidTr="00F65650">
        <w:trPr>
          <w:cantSplit/>
        </w:trPr>
        <w:tc>
          <w:tcPr>
            <w:tcW w:w="4536" w:type="dxa"/>
            <w:tcBorders>
              <w:top w:val="single" w:sz="4" w:space="0" w:color="0D0D0D"/>
              <w:left w:val="single" w:sz="4" w:space="0" w:color="0D0D0D"/>
              <w:bottom w:val="single" w:sz="4" w:space="0" w:color="0D0D0D"/>
              <w:right w:val="single" w:sz="4" w:space="0" w:color="0D0D0D"/>
            </w:tcBorders>
            <w:shd w:val="clear" w:color="auto" w:fill="auto"/>
          </w:tcPr>
          <w:p w14:paraId="46125649" w14:textId="77777777" w:rsidR="00F65650" w:rsidRPr="005A1A9B" w:rsidRDefault="00F65650" w:rsidP="00F65650">
            <w:pPr>
              <w:ind w:left="0"/>
            </w:pPr>
            <w:r>
              <w:t>Medicare card</w:t>
            </w:r>
          </w:p>
        </w:tc>
        <w:tc>
          <w:tcPr>
            <w:tcW w:w="4593" w:type="dxa"/>
            <w:tcBorders>
              <w:top w:val="single" w:sz="4" w:space="0" w:color="0D0D0D"/>
              <w:left w:val="single" w:sz="4" w:space="0" w:color="0D0D0D"/>
              <w:bottom w:val="single" w:sz="4" w:space="0" w:color="0D0D0D"/>
              <w:right w:val="single" w:sz="4" w:space="0" w:color="0D0D0D"/>
            </w:tcBorders>
          </w:tcPr>
          <w:p w14:paraId="4884F5DA" w14:textId="77777777" w:rsidR="00F65650" w:rsidRDefault="00F65650" w:rsidP="00F65650">
            <w:pPr>
              <w:pStyle w:val="ListParagraph"/>
              <w:widowControl/>
              <w:numPr>
                <w:ilvl w:val="0"/>
                <w:numId w:val="35"/>
              </w:numPr>
              <w:suppressAutoHyphens w:val="0"/>
              <w:autoSpaceDE/>
              <w:autoSpaceDN/>
              <w:contextualSpacing/>
              <w:textAlignment w:val="auto"/>
            </w:pPr>
            <w:r>
              <w:t>Medicare card number</w:t>
            </w:r>
          </w:p>
          <w:p w14:paraId="2FD8830A" w14:textId="77777777" w:rsidR="00F65650" w:rsidRDefault="00F65650" w:rsidP="00F65650">
            <w:pPr>
              <w:pStyle w:val="ListParagraph"/>
              <w:widowControl/>
              <w:numPr>
                <w:ilvl w:val="0"/>
                <w:numId w:val="35"/>
              </w:numPr>
              <w:suppressAutoHyphens w:val="0"/>
              <w:autoSpaceDE/>
              <w:autoSpaceDN/>
              <w:contextualSpacing/>
              <w:textAlignment w:val="auto"/>
            </w:pPr>
            <w:r>
              <w:t>Individual Reference Number</w:t>
            </w:r>
          </w:p>
          <w:p w14:paraId="2027DE1E" w14:textId="77777777" w:rsidR="00F65650" w:rsidRPr="00F33A91" w:rsidRDefault="00F65650" w:rsidP="00F65650">
            <w:pPr>
              <w:pStyle w:val="ListParagraph"/>
              <w:widowControl/>
              <w:numPr>
                <w:ilvl w:val="0"/>
                <w:numId w:val="35"/>
              </w:numPr>
              <w:suppressAutoHyphens w:val="0"/>
              <w:autoSpaceDE/>
              <w:autoSpaceDN/>
              <w:contextualSpacing/>
              <w:textAlignment w:val="auto"/>
            </w:pPr>
            <w:r w:rsidRPr="00F33A91">
              <w:t>Expiry date</w:t>
            </w:r>
          </w:p>
        </w:tc>
      </w:tr>
      <w:tr w:rsidR="00F65650" w:rsidRPr="005A1A9B" w14:paraId="584E68F2" w14:textId="77777777" w:rsidTr="00F65650">
        <w:trPr>
          <w:cantSplit/>
        </w:trPr>
        <w:tc>
          <w:tcPr>
            <w:tcW w:w="4536" w:type="dxa"/>
            <w:tcBorders>
              <w:top w:val="single" w:sz="4" w:space="0" w:color="0D0D0D"/>
              <w:left w:val="single" w:sz="4" w:space="0" w:color="0D0D0D"/>
              <w:bottom w:val="single" w:sz="4" w:space="0" w:color="0D0D0D"/>
              <w:right w:val="single" w:sz="4" w:space="0" w:color="0D0D0D"/>
            </w:tcBorders>
            <w:shd w:val="clear" w:color="auto" w:fill="auto"/>
          </w:tcPr>
          <w:p w14:paraId="4F9D59AA" w14:textId="77777777" w:rsidR="00F65650" w:rsidRDefault="00F65650" w:rsidP="00F65650">
            <w:pPr>
              <w:ind w:left="0"/>
            </w:pPr>
            <w:r>
              <w:t>Australian visa</w:t>
            </w:r>
          </w:p>
        </w:tc>
        <w:tc>
          <w:tcPr>
            <w:tcW w:w="4593" w:type="dxa"/>
            <w:tcBorders>
              <w:top w:val="single" w:sz="4" w:space="0" w:color="0D0D0D"/>
              <w:left w:val="single" w:sz="4" w:space="0" w:color="0D0D0D"/>
              <w:bottom w:val="single" w:sz="4" w:space="0" w:color="0D0D0D"/>
              <w:right w:val="single" w:sz="4" w:space="0" w:color="0D0D0D"/>
            </w:tcBorders>
          </w:tcPr>
          <w:p w14:paraId="6285B449" w14:textId="77777777" w:rsidR="00F65650" w:rsidRDefault="00F65650" w:rsidP="00F65650">
            <w:pPr>
              <w:pStyle w:val="ListParagraph"/>
              <w:widowControl/>
              <w:numPr>
                <w:ilvl w:val="0"/>
                <w:numId w:val="35"/>
              </w:numPr>
              <w:suppressAutoHyphens w:val="0"/>
              <w:autoSpaceDE/>
              <w:autoSpaceDN/>
              <w:contextualSpacing/>
              <w:textAlignment w:val="auto"/>
            </w:pPr>
            <w:r>
              <w:t>Visa number</w:t>
            </w:r>
          </w:p>
          <w:p w14:paraId="3E623314" w14:textId="77777777" w:rsidR="00F65650" w:rsidRDefault="00F65650" w:rsidP="00F65650">
            <w:pPr>
              <w:pStyle w:val="ListParagraph"/>
              <w:widowControl/>
              <w:numPr>
                <w:ilvl w:val="0"/>
                <w:numId w:val="35"/>
              </w:numPr>
              <w:suppressAutoHyphens w:val="0"/>
              <w:autoSpaceDE/>
              <w:autoSpaceDN/>
              <w:contextualSpacing/>
              <w:textAlignment w:val="auto"/>
            </w:pPr>
            <w:r>
              <w:t>Expiry date</w:t>
            </w:r>
          </w:p>
        </w:tc>
      </w:tr>
      <w:tr w:rsidR="00F65650" w:rsidRPr="005A1A9B" w14:paraId="67FEE748" w14:textId="77777777" w:rsidTr="00F65650">
        <w:trPr>
          <w:cantSplit/>
        </w:trPr>
        <w:tc>
          <w:tcPr>
            <w:tcW w:w="4536" w:type="dxa"/>
            <w:tcBorders>
              <w:top w:val="single" w:sz="4" w:space="0" w:color="0D0D0D"/>
              <w:left w:val="single" w:sz="4" w:space="0" w:color="0D0D0D"/>
              <w:bottom w:val="single" w:sz="4" w:space="0" w:color="0D0D0D"/>
              <w:right w:val="single" w:sz="4" w:space="0" w:color="0D0D0D"/>
            </w:tcBorders>
            <w:shd w:val="clear" w:color="auto" w:fill="auto"/>
          </w:tcPr>
          <w:p w14:paraId="531CEE38" w14:textId="77777777" w:rsidR="00F65650" w:rsidRDefault="00F65650" w:rsidP="00F65650">
            <w:pPr>
              <w:ind w:left="0"/>
            </w:pPr>
            <w:proofErr w:type="spellStart"/>
            <w:r>
              <w:t>ImmiCard</w:t>
            </w:r>
            <w:proofErr w:type="spellEnd"/>
            <w:r>
              <w:t xml:space="preserve"> (issued by the Commonwealth as evidence of immigration status)</w:t>
            </w:r>
          </w:p>
        </w:tc>
        <w:tc>
          <w:tcPr>
            <w:tcW w:w="4593" w:type="dxa"/>
            <w:tcBorders>
              <w:top w:val="single" w:sz="4" w:space="0" w:color="0D0D0D"/>
              <w:left w:val="single" w:sz="4" w:space="0" w:color="0D0D0D"/>
              <w:bottom w:val="single" w:sz="4" w:space="0" w:color="0D0D0D"/>
              <w:right w:val="single" w:sz="4" w:space="0" w:color="0D0D0D"/>
            </w:tcBorders>
          </w:tcPr>
          <w:p w14:paraId="17EBC02D" w14:textId="77777777" w:rsidR="00F65650" w:rsidRDefault="00F65650" w:rsidP="00F65650">
            <w:pPr>
              <w:pStyle w:val="ListParagraph"/>
              <w:widowControl/>
              <w:numPr>
                <w:ilvl w:val="0"/>
                <w:numId w:val="35"/>
              </w:numPr>
              <w:suppressAutoHyphens w:val="0"/>
              <w:autoSpaceDE/>
              <w:autoSpaceDN/>
              <w:contextualSpacing/>
              <w:textAlignment w:val="auto"/>
            </w:pPr>
            <w:r>
              <w:t>Card number</w:t>
            </w:r>
          </w:p>
          <w:p w14:paraId="4A382C0E" w14:textId="77777777" w:rsidR="00F65650" w:rsidRDefault="00F65650" w:rsidP="00F65650">
            <w:pPr>
              <w:pStyle w:val="ListParagraph"/>
              <w:widowControl/>
              <w:numPr>
                <w:ilvl w:val="0"/>
                <w:numId w:val="35"/>
              </w:numPr>
              <w:suppressAutoHyphens w:val="0"/>
              <w:autoSpaceDE/>
              <w:autoSpaceDN/>
              <w:contextualSpacing/>
              <w:textAlignment w:val="auto"/>
            </w:pPr>
            <w:r>
              <w:t>Expiry date</w:t>
            </w:r>
          </w:p>
        </w:tc>
      </w:tr>
    </w:tbl>
    <w:p w14:paraId="38FB98F6" w14:textId="77777777" w:rsidR="00F65650" w:rsidRDefault="00F65650" w:rsidP="00F65650">
      <w:pPr>
        <w:pStyle w:val="Heading2"/>
        <w:rPr>
          <w:rFonts w:eastAsia="Calibri"/>
        </w:rPr>
      </w:pPr>
    </w:p>
    <w:p w14:paraId="2727ED1C" w14:textId="77777777" w:rsidR="00F65650" w:rsidRDefault="00F65650" w:rsidP="00F65650">
      <w:pPr>
        <w:pStyle w:val="Heading2"/>
        <w:rPr>
          <w:rFonts w:eastAsia="Calibri"/>
        </w:rPr>
      </w:pPr>
      <w:r>
        <w:rPr>
          <w:rFonts w:eastAsia="Calibri"/>
        </w:rPr>
        <w:t>Privacy</w:t>
      </w:r>
    </w:p>
    <w:p w14:paraId="41C0198C" w14:textId="77777777" w:rsidR="00F65650" w:rsidRDefault="00F65650" w:rsidP="00F65650">
      <w:pPr>
        <w:rPr>
          <w:rFonts w:eastAsia="Calibri"/>
        </w:rPr>
      </w:pPr>
      <w:r>
        <w:rPr>
          <w:rFonts w:eastAsia="Calibri"/>
        </w:rPr>
        <w:t>A</w:t>
      </w:r>
      <w:r w:rsidRPr="00D60684">
        <w:rPr>
          <w:rFonts w:eastAsia="Calibri"/>
        </w:rPr>
        <w:t xml:space="preserve">s part of </w:t>
      </w:r>
      <w:r>
        <w:rPr>
          <w:rFonts w:eastAsia="Calibri"/>
        </w:rPr>
        <w:t>the Barrier Free model</w:t>
      </w:r>
      <w:r w:rsidRPr="00D60684">
        <w:rPr>
          <w:rFonts w:eastAsia="Calibri"/>
        </w:rPr>
        <w:t>, Access Canberra is authorised to collect information from property buyers on behalf of the ACT Revenue Office under the Land Titles Act, section 178B. This information is collected through the lodged land title instrument and the corresponding Buyer Verification Declaration</w:t>
      </w:r>
      <w:r>
        <w:rPr>
          <w:rFonts w:eastAsia="Calibri"/>
        </w:rPr>
        <w:t>.</w:t>
      </w:r>
    </w:p>
    <w:p w14:paraId="01A0E98D" w14:textId="77777777" w:rsidR="00F65650" w:rsidRPr="00D60684" w:rsidRDefault="00F65650" w:rsidP="00F65650">
      <w:pPr>
        <w:rPr>
          <w:rFonts w:eastAsia="Calibri"/>
        </w:rPr>
      </w:pPr>
    </w:p>
    <w:p w14:paraId="152C89F6" w14:textId="77777777" w:rsidR="00F65650" w:rsidRDefault="00F65650" w:rsidP="00F65650">
      <w:pPr>
        <w:rPr>
          <w:rFonts w:eastAsia="Calibri"/>
        </w:rPr>
      </w:pPr>
      <w:r>
        <w:rPr>
          <w:rFonts w:eastAsia="Calibri"/>
        </w:rPr>
        <w:t xml:space="preserve">Information collected by Access Canberra for this purpose is </w:t>
      </w:r>
      <w:r w:rsidRPr="00D822E8">
        <w:rPr>
          <w:rFonts w:eastAsia="Calibri"/>
        </w:rPr>
        <w:t xml:space="preserve">protected by the </w:t>
      </w:r>
      <w:r w:rsidRPr="00D822E8">
        <w:rPr>
          <w:rFonts w:eastAsia="Calibri"/>
          <w:i/>
        </w:rPr>
        <w:t xml:space="preserve">Information Privacy Act 2014 </w:t>
      </w:r>
      <w:r w:rsidRPr="00D822E8">
        <w:rPr>
          <w:rFonts w:eastAsia="Calibri"/>
        </w:rPr>
        <w:t>and the confidentiality provisions under the</w:t>
      </w:r>
      <w:r w:rsidRPr="00D822E8">
        <w:rPr>
          <w:rFonts w:eastAsia="Calibri"/>
          <w:i/>
        </w:rPr>
        <w:t xml:space="preserve"> Taxation Administration Act 1999</w:t>
      </w:r>
      <w:r>
        <w:rPr>
          <w:rFonts w:eastAsia="Calibri"/>
          <w:i/>
        </w:rPr>
        <w:t xml:space="preserve"> </w:t>
      </w:r>
      <w:r>
        <w:rPr>
          <w:rFonts w:eastAsia="Calibri"/>
        </w:rPr>
        <w:t>(TAA)</w:t>
      </w:r>
      <w:r w:rsidRPr="00D822E8">
        <w:rPr>
          <w:rFonts w:eastAsia="Calibri"/>
        </w:rPr>
        <w:t>.</w:t>
      </w:r>
      <w:r>
        <w:rPr>
          <w:rFonts w:eastAsia="Calibri"/>
        </w:rPr>
        <w:t xml:space="preserve"> For further information see the ACT Revenue Office’s privacy policy available on </w:t>
      </w:r>
      <w:hyperlink r:id="rId17" w:history="1">
        <w:r w:rsidRPr="00FF7D01">
          <w:rPr>
            <w:rStyle w:val="Hyperlink"/>
            <w:rFonts w:eastAsia="Calibri"/>
          </w:rPr>
          <w:t>www.revenue.act.gov.au</w:t>
        </w:r>
      </w:hyperlink>
      <w:r>
        <w:rPr>
          <w:rFonts w:eastAsia="Calibri"/>
        </w:rPr>
        <w:t>.</w:t>
      </w:r>
    </w:p>
    <w:p w14:paraId="68B55DA2" w14:textId="77777777" w:rsidR="00F65650" w:rsidRPr="00F65650" w:rsidRDefault="00F65650" w:rsidP="00F65650">
      <w:pPr>
        <w:rPr>
          <w:rFonts w:eastAsia="Calibri"/>
        </w:rPr>
      </w:pPr>
    </w:p>
    <w:p w14:paraId="10D60F32" w14:textId="77777777" w:rsidR="00F65650" w:rsidRDefault="00F65650" w:rsidP="00F65650">
      <w:pPr>
        <w:pStyle w:val="Heading1"/>
        <w:rPr>
          <w:rFonts w:eastAsia="Calibri"/>
        </w:rPr>
      </w:pPr>
      <w:bookmarkStart w:id="9" w:name="_Toc492550806"/>
      <w:r>
        <w:rPr>
          <w:rFonts w:eastAsia="Calibri"/>
        </w:rPr>
        <w:t>Self-assessment of exemptions (including home buyer assistance)</w:t>
      </w:r>
      <w:bookmarkEnd w:id="9"/>
    </w:p>
    <w:p w14:paraId="7F11AC34" w14:textId="77777777" w:rsidR="00F65650" w:rsidRDefault="00F65650" w:rsidP="00F65650">
      <w:pPr>
        <w:rPr>
          <w:rFonts w:eastAsia="Calibri"/>
        </w:rPr>
      </w:pPr>
      <w:r w:rsidRPr="007F0BD4">
        <w:rPr>
          <w:rFonts w:eastAsia="Calibri"/>
        </w:rPr>
        <w:t>In the Barrier Free model</w:t>
      </w:r>
      <w:r>
        <w:rPr>
          <w:rFonts w:eastAsia="Calibri"/>
        </w:rPr>
        <w:t>, taxpayers can</w:t>
      </w:r>
      <w:r w:rsidRPr="00325111">
        <w:rPr>
          <w:rFonts w:eastAsia="Calibri"/>
        </w:rPr>
        <w:t xml:space="preserve"> assess </w:t>
      </w:r>
      <w:r>
        <w:rPr>
          <w:rFonts w:eastAsia="Calibri"/>
        </w:rPr>
        <w:t>your own</w:t>
      </w:r>
      <w:r w:rsidRPr="00325111">
        <w:rPr>
          <w:rFonts w:eastAsia="Calibri"/>
        </w:rPr>
        <w:t xml:space="preserve"> eligibility for home buyer assistance schemes and a range of other concessions and exemptions</w:t>
      </w:r>
      <w:r>
        <w:rPr>
          <w:rFonts w:eastAsia="Calibri"/>
        </w:rPr>
        <w:t xml:space="preserve">. In most cases an application is </w:t>
      </w:r>
      <w:r>
        <w:rPr>
          <w:rFonts w:eastAsia="Calibri"/>
          <w:u w:val="single"/>
        </w:rPr>
        <w:t xml:space="preserve">not </w:t>
      </w:r>
      <w:r>
        <w:rPr>
          <w:rFonts w:eastAsia="Calibri"/>
        </w:rPr>
        <w:t>required</w:t>
      </w:r>
      <w:r w:rsidRPr="007F0BD4">
        <w:rPr>
          <w:rFonts w:eastAsia="Calibri"/>
        </w:rPr>
        <w:t xml:space="preserve"> before settlement. </w:t>
      </w:r>
    </w:p>
    <w:p w14:paraId="64084C30" w14:textId="77777777" w:rsidR="00F65650" w:rsidRDefault="00F65650" w:rsidP="00F65650">
      <w:pPr>
        <w:rPr>
          <w:rFonts w:eastAsia="Calibri"/>
        </w:rPr>
      </w:pPr>
    </w:p>
    <w:p w14:paraId="2D5FACAC" w14:textId="77777777" w:rsidR="00F65650" w:rsidRDefault="00F65650" w:rsidP="00F65650">
      <w:pPr>
        <w:rPr>
          <w:rFonts w:eastAsia="Calibri"/>
        </w:rPr>
      </w:pPr>
      <w:r>
        <w:rPr>
          <w:rFonts w:eastAsia="Calibri"/>
        </w:rPr>
        <w:t>Taxpayers</w:t>
      </w:r>
      <w:r w:rsidRPr="007F0BD4">
        <w:rPr>
          <w:rFonts w:eastAsia="Calibri"/>
        </w:rPr>
        <w:t xml:space="preserve"> can determine </w:t>
      </w:r>
      <w:r>
        <w:rPr>
          <w:rFonts w:eastAsia="Calibri"/>
        </w:rPr>
        <w:t>their own</w:t>
      </w:r>
      <w:r w:rsidRPr="007F0BD4">
        <w:rPr>
          <w:rFonts w:eastAsia="Calibri"/>
        </w:rPr>
        <w:t xml:space="preserve"> eligibility</w:t>
      </w:r>
      <w:r>
        <w:rPr>
          <w:rFonts w:eastAsia="Calibri"/>
        </w:rPr>
        <w:t xml:space="preserve"> for any concessions or exemptions</w:t>
      </w:r>
      <w:r w:rsidRPr="007F0BD4">
        <w:rPr>
          <w:rFonts w:eastAsia="Calibri"/>
        </w:rPr>
        <w:t xml:space="preserve"> </w:t>
      </w:r>
      <w:r>
        <w:rPr>
          <w:rFonts w:eastAsia="Calibri"/>
        </w:rPr>
        <w:t xml:space="preserve">on the ACT Revenue Office </w:t>
      </w:r>
      <w:r w:rsidRPr="007F0BD4">
        <w:rPr>
          <w:rFonts w:eastAsia="Calibri"/>
        </w:rPr>
        <w:t>website</w:t>
      </w:r>
      <w:r>
        <w:rPr>
          <w:rFonts w:eastAsia="Calibri"/>
        </w:rPr>
        <w:t>.</w:t>
      </w:r>
    </w:p>
    <w:p w14:paraId="4A701727" w14:textId="77777777" w:rsidR="00F65650" w:rsidRDefault="00F65650">
      <w:pPr>
        <w:widowControl/>
        <w:suppressAutoHyphens w:val="0"/>
        <w:autoSpaceDE/>
        <w:spacing w:after="200" w:line="276" w:lineRule="auto"/>
        <w:ind w:left="0"/>
        <w:jc w:val="left"/>
        <w:rPr>
          <w:rFonts w:eastAsia="Calibri"/>
        </w:rPr>
      </w:pPr>
      <w:r>
        <w:rPr>
          <w:rFonts w:eastAsia="Calibri"/>
        </w:rPr>
        <w:br w:type="page"/>
      </w:r>
    </w:p>
    <w:p w14:paraId="493516BF" w14:textId="77777777" w:rsidR="00F65650" w:rsidRDefault="00F65650" w:rsidP="00F65650">
      <w:pPr>
        <w:rPr>
          <w:rFonts w:eastAsia="Calibri"/>
        </w:rPr>
      </w:pPr>
    </w:p>
    <w:p w14:paraId="14B68697" w14:textId="77777777" w:rsidR="00F65650" w:rsidRDefault="00F65650" w:rsidP="00F65650">
      <w:pPr>
        <w:pStyle w:val="Heading2"/>
        <w:rPr>
          <w:rFonts w:eastAsia="Calibri"/>
        </w:rPr>
      </w:pPr>
      <w:r>
        <w:rPr>
          <w:rFonts w:eastAsia="Calibri"/>
        </w:rPr>
        <w:t>Home buyer assistance</w:t>
      </w:r>
    </w:p>
    <w:p w14:paraId="3956033B" w14:textId="77777777" w:rsidR="00F65650" w:rsidRDefault="00F65650" w:rsidP="00F65650">
      <w:pPr>
        <w:rPr>
          <w:rFonts w:eastAsia="Calibri"/>
        </w:rPr>
      </w:pPr>
      <w:r>
        <w:rPr>
          <w:rFonts w:eastAsia="Calibri"/>
        </w:rPr>
        <w:t xml:space="preserve">The </w:t>
      </w:r>
      <w:r w:rsidRPr="001C3191">
        <w:rPr>
          <w:rFonts w:eastAsia="Calibri"/>
        </w:rPr>
        <w:t xml:space="preserve">ACT Revenue Office website has online calculators, tools, questionnaires and information to enable </w:t>
      </w:r>
      <w:r>
        <w:rPr>
          <w:rFonts w:eastAsia="Calibri"/>
        </w:rPr>
        <w:t>taxpayers</w:t>
      </w:r>
      <w:r w:rsidRPr="00325111">
        <w:rPr>
          <w:rFonts w:eastAsia="Calibri"/>
        </w:rPr>
        <w:t xml:space="preserve"> </w:t>
      </w:r>
      <w:r w:rsidRPr="001C3191">
        <w:rPr>
          <w:rFonts w:eastAsia="Calibri"/>
        </w:rPr>
        <w:t>to work out the concession</w:t>
      </w:r>
      <w:r>
        <w:rPr>
          <w:rFonts w:eastAsia="Calibri"/>
        </w:rPr>
        <w:t>s that can be claimed at registration, including home buyer assistance and deferred duty.</w:t>
      </w:r>
      <w:r w:rsidRPr="007F0BD4">
        <w:rPr>
          <w:rFonts w:eastAsia="Calibri"/>
        </w:rPr>
        <w:t xml:space="preserve"> </w:t>
      </w:r>
    </w:p>
    <w:p w14:paraId="33C6C700" w14:textId="77777777" w:rsidR="00F65650" w:rsidRDefault="00F65650" w:rsidP="00F65650">
      <w:pPr>
        <w:rPr>
          <w:rFonts w:eastAsia="Calibri"/>
        </w:rPr>
      </w:pPr>
    </w:p>
    <w:p w14:paraId="6BCD194C" w14:textId="77777777" w:rsidR="00F65650" w:rsidRDefault="00F65650" w:rsidP="00F65650">
      <w:pPr>
        <w:rPr>
          <w:rFonts w:eastAsia="Calibri"/>
        </w:rPr>
      </w:pPr>
      <w:r w:rsidRPr="00325111">
        <w:rPr>
          <w:rFonts w:eastAsia="Calibri"/>
        </w:rPr>
        <w:t xml:space="preserve">When completing a questionnaire, </w:t>
      </w:r>
      <w:r>
        <w:rPr>
          <w:rFonts w:eastAsia="Calibri"/>
        </w:rPr>
        <w:t>taxpayers</w:t>
      </w:r>
      <w:r w:rsidRPr="00325111">
        <w:rPr>
          <w:rFonts w:eastAsia="Calibri"/>
        </w:rPr>
        <w:t xml:space="preserve"> will be required</w:t>
      </w:r>
      <w:r>
        <w:rPr>
          <w:rFonts w:eastAsia="Calibri"/>
        </w:rPr>
        <w:t xml:space="preserve"> to answer a range of questions. B</w:t>
      </w:r>
      <w:r w:rsidRPr="00325111">
        <w:rPr>
          <w:rFonts w:eastAsia="Calibri"/>
        </w:rPr>
        <w:t xml:space="preserve">ased on the information </w:t>
      </w:r>
      <w:r>
        <w:rPr>
          <w:rFonts w:eastAsia="Calibri"/>
        </w:rPr>
        <w:t>provided</w:t>
      </w:r>
      <w:r w:rsidRPr="00325111">
        <w:rPr>
          <w:rFonts w:eastAsia="Calibri"/>
        </w:rPr>
        <w:t xml:space="preserve"> </w:t>
      </w:r>
      <w:r>
        <w:rPr>
          <w:rFonts w:eastAsia="Calibri"/>
        </w:rPr>
        <w:t>the taxpayer</w:t>
      </w:r>
      <w:r w:rsidRPr="00325111">
        <w:rPr>
          <w:rFonts w:eastAsia="Calibri"/>
        </w:rPr>
        <w:t xml:space="preserve"> will be advised if </w:t>
      </w:r>
      <w:r>
        <w:rPr>
          <w:rFonts w:eastAsia="Calibri"/>
        </w:rPr>
        <w:t>they</w:t>
      </w:r>
      <w:r w:rsidRPr="00325111">
        <w:rPr>
          <w:rFonts w:eastAsia="Calibri"/>
        </w:rPr>
        <w:t xml:space="preserve"> are eligible for the concession or exemption. If deemed to be eligible </w:t>
      </w:r>
      <w:r>
        <w:rPr>
          <w:rFonts w:eastAsia="Calibri"/>
        </w:rPr>
        <w:t>the questionnaire will</w:t>
      </w:r>
      <w:r w:rsidRPr="00325111">
        <w:rPr>
          <w:rFonts w:eastAsia="Calibri"/>
        </w:rPr>
        <w:t xml:space="preserve"> provide </w:t>
      </w:r>
      <w:r>
        <w:rPr>
          <w:rFonts w:eastAsia="Calibri"/>
        </w:rPr>
        <w:t xml:space="preserve">the taxpayer </w:t>
      </w:r>
      <w:r w:rsidRPr="00325111">
        <w:rPr>
          <w:rFonts w:eastAsia="Calibri"/>
        </w:rPr>
        <w:t xml:space="preserve">with a concession </w:t>
      </w:r>
      <w:r>
        <w:rPr>
          <w:rFonts w:eastAsia="Calibri"/>
        </w:rPr>
        <w:t xml:space="preserve">or exemption </w:t>
      </w:r>
      <w:r w:rsidRPr="00325111">
        <w:rPr>
          <w:rFonts w:eastAsia="Calibri"/>
        </w:rPr>
        <w:t xml:space="preserve">code to </w:t>
      </w:r>
      <w:r>
        <w:rPr>
          <w:rFonts w:eastAsia="Calibri"/>
        </w:rPr>
        <w:t>record</w:t>
      </w:r>
      <w:r w:rsidRPr="00325111">
        <w:rPr>
          <w:rFonts w:eastAsia="Calibri"/>
        </w:rPr>
        <w:t xml:space="preserve"> </w:t>
      </w:r>
      <w:r>
        <w:rPr>
          <w:rFonts w:eastAsia="Calibri"/>
        </w:rPr>
        <w:t>on</w:t>
      </w:r>
      <w:r w:rsidRPr="00325111">
        <w:rPr>
          <w:rFonts w:eastAsia="Calibri"/>
        </w:rPr>
        <w:t xml:space="preserve"> </w:t>
      </w:r>
      <w:r>
        <w:rPr>
          <w:rFonts w:eastAsia="Calibri"/>
        </w:rPr>
        <w:t xml:space="preserve">the </w:t>
      </w:r>
      <w:r w:rsidRPr="00325111">
        <w:rPr>
          <w:rFonts w:eastAsia="Calibri"/>
        </w:rPr>
        <w:t xml:space="preserve">transfer </w:t>
      </w:r>
      <w:r>
        <w:rPr>
          <w:rFonts w:eastAsia="Calibri"/>
        </w:rPr>
        <w:t>instrument and/or in the Buyer Verification Declaration as appropriate</w:t>
      </w:r>
      <w:r w:rsidRPr="00E45967">
        <w:rPr>
          <w:rFonts w:eastAsia="Calibri"/>
        </w:rPr>
        <w:t>.</w:t>
      </w:r>
    </w:p>
    <w:p w14:paraId="365071B2" w14:textId="77777777" w:rsidR="00F65650" w:rsidRDefault="00F65650" w:rsidP="00F65650">
      <w:pPr>
        <w:rPr>
          <w:rFonts w:eastAsia="Calibri"/>
        </w:rPr>
      </w:pPr>
    </w:p>
    <w:p w14:paraId="47268185" w14:textId="77777777" w:rsidR="00F65650" w:rsidRDefault="00F65650" w:rsidP="00F65650">
      <w:pPr>
        <w:rPr>
          <w:rFonts w:eastAsia="Calibri"/>
        </w:rPr>
      </w:pPr>
      <w:r>
        <w:rPr>
          <w:rFonts w:eastAsia="Calibri"/>
        </w:rPr>
        <w:t xml:space="preserve">Please note that the </w:t>
      </w:r>
      <w:r w:rsidRPr="001C3191">
        <w:rPr>
          <w:rFonts w:eastAsia="Calibri"/>
        </w:rPr>
        <w:t>First Home Owner Grant continues to be administered under the existing timeframes</w:t>
      </w:r>
      <w:r>
        <w:rPr>
          <w:rFonts w:eastAsia="Calibri"/>
        </w:rPr>
        <w:t xml:space="preserve"> and must be applied for via Smart</w:t>
      </w:r>
      <w:r w:rsidRPr="001C3191">
        <w:rPr>
          <w:rFonts w:eastAsia="Calibri"/>
        </w:rPr>
        <w:t>Form</w:t>
      </w:r>
      <w:r>
        <w:rPr>
          <w:rFonts w:eastAsia="Calibri"/>
        </w:rPr>
        <w:t xml:space="preserve"> on the ACT Revenue Office website</w:t>
      </w:r>
      <w:r w:rsidRPr="001C3191">
        <w:rPr>
          <w:rFonts w:eastAsia="Calibri"/>
        </w:rPr>
        <w:t>.</w:t>
      </w:r>
    </w:p>
    <w:p w14:paraId="2B43AC93" w14:textId="77777777" w:rsidR="00F65650" w:rsidRDefault="00F65650" w:rsidP="00F65650">
      <w:pPr>
        <w:pStyle w:val="Heading2"/>
        <w:rPr>
          <w:rFonts w:eastAsia="Calibri"/>
        </w:rPr>
      </w:pPr>
      <w:r>
        <w:rPr>
          <w:rFonts w:eastAsia="Calibri"/>
        </w:rPr>
        <w:t>Other exemptions</w:t>
      </w:r>
    </w:p>
    <w:p w14:paraId="5E405466" w14:textId="77777777" w:rsidR="00F65650" w:rsidRDefault="00F65650" w:rsidP="00F65650">
      <w:pPr>
        <w:rPr>
          <w:rFonts w:eastAsia="Calibri"/>
        </w:rPr>
      </w:pPr>
      <w:r>
        <w:rPr>
          <w:rFonts w:eastAsia="Calibri"/>
        </w:rPr>
        <w:t>Most other Duties Act exemptions can be self-assessed on the ACT Revenue Office website and claimed on the Access Canberra forms using the applicable code.</w:t>
      </w:r>
    </w:p>
    <w:p w14:paraId="64F2B474" w14:textId="77777777" w:rsidR="00F65650" w:rsidRDefault="00F65650" w:rsidP="00F65650">
      <w:pPr>
        <w:pStyle w:val="Heading2"/>
        <w:rPr>
          <w:rFonts w:eastAsia="Calibri"/>
        </w:rPr>
      </w:pPr>
      <w:r>
        <w:rPr>
          <w:rFonts w:eastAsia="Calibri"/>
        </w:rPr>
        <w:t>Compliance</w:t>
      </w:r>
    </w:p>
    <w:p w14:paraId="4E01B974" w14:textId="77777777" w:rsidR="00F65650" w:rsidRDefault="00F65650" w:rsidP="00F65650">
      <w:pPr>
        <w:rPr>
          <w:rFonts w:eastAsia="Calibri"/>
        </w:rPr>
      </w:pPr>
      <w:r w:rsidRPr="00325111">
        <w:rPr>
          <w:rFonts w:eastAsia="Calibri"/>
        </w:rPr>
        <w:t xml:space="preserve">For auditing purposes, </w:t>
      </w:r>
      <w:r>
        <w:rPr>
          <w:rFonts w:eastAsia="Calibri"/>
        </w:rPr>
        <w:t>the questionnaire answer</w:t>
      </w:r>
      <w:r w:rsidRPr="00325111">
        <w:rPr>
          <w:rFonts w:eastAsia="Calibri"/>
        </w:rPr>
        <w:t xml:space="preserve"> will</w:t>
      </w:r>
      <w:r>
        <w:rPr>
          <w:rFonts w:eastAsia="Calibri"/>
        </w:rPr>
        <w:t xml:space="preserve"> list </w:t>
      </w:r>
      <w:r w:rsidRPr="00325111">
        <w:rPr>
          <w:rFonts w:eastAsia="Calibri"/>
        </w:rPr>
        <w:t xml:space="preserve">supporting documents that </w:t>
      </w:r>
      <w:r>
        <w:rPr>
          <w:rFonts w:eastAsia="Calibri"/>
        </w:rPr>
        <w:t>taxpayers</w:t>
      </w:r>
      <w:r w:rsidRPr="00325111">
        <w:rPr>
          <w:rFonts w:eastAsia="Calibri"/>
        </w:rPr>
        <w:t xml:space="preserve"> </w:t>
      </w:r>
      <w:r>
        <w:rPr>
          <w:rFonts w:eastAsia="Calibri"/>
        </w:rPr>
        <w:t>are</w:t>
      </w:r>
      <w:r w:rsidRPr="00325111">
        <w:rPr>
          <w:rFonts w:eastAsia="Calibri"/>
        </w:rPr>
        <w:t xml:space="preserve"> required to keep for a period of five years following registration of </w:t>
      </w:r>
      <w:r>
        <w:rPr>
          <w:rFonts w:eastAsia="Calibri"/>
        </w:rPr>
        <w:t>the</w:t>
      </w:r>
      <w:r w:rsidRPr="00325111">
        <w:rPr>
          <w:rFonts w:eastAsia="Calibri"/>
        </w:rPr>
        <w:t xml:space="preserve"> transaction with </w:t>
      </w:r>
      <w:r>
        <w:rPr>
          <w:rFonts w:eastAsia="Calibri"/>
        </w:rPr>
        <w:t>Access Canberra.</w:t>
      </w:r>
    </w:p>
    <w:p w14:paraId="333485E3" w14:textId="77777777" w:rsidR="00F65650" w:rsidRDefault="00F65650" w:rsidP="00F65650">
      <w:pPr>
        <w:rPr>
          <w:rFonts w:eastAsia="Calibri"/>
        </w:rPr>
      </w:pPr>
    </w:p>
    <w:p w14:paraId="01011AC7" w14:textId="77777777" w:rsidR="00F65650" w:rsidRDefault="00F65650" w:rsidP="00F65650">
      <w:pPr>
        <w:rPr>
          <w:rFonts w:eastAsia="Calibri"/>
        </w:rPr>
      </w:pPr>
      <w:r w:rsidRPr="007F0BD4">
        <w:rPr>
          <w:rFonts w:eastAsia="Calibri"/>
        </w:rPr>
        <w:t xml:space="preserve">Depending on the nature of the assistance and personal circumstances, </w:t>
      </w:r>
      <w:r>
        <w:rPr>
          <w:rFonts w:eastAsia="Calibri"/>
        </w:rPr>
        <w:t>the taxpayer</w:t>
      </w:r>
      <w:r w:rsidRPr="007F0BD4">
        <w:rPr>
          <w:rFonts w:eastAsia="Calibri"/>
        </w:rPr>
        <w:t xml:space="preserve"> may be contacted by the ACT Revenue Office after duty has been paid to verify eligibility.</w:t>
      </w:r>
      <w:r>
        <w:rPr>
          <w:rFonts w:eastAsia="Calibri"/>
        </w:rPr>
        <w:t xml:space="preserve"> Taxpayers</w:t>
      </w:r>
      <w:r w:rsidRPr="007F0BD4">
        <w:rPr>
          <w:rFonts w:eastAsia="Calibri"/>
        </w:rPr>
        <w:t xml:space="preserve"> are required to retain supporting documentation for five years from the date of registration for any concession or exemptions claimed for auditing purposes. </w:t>
      </w:r>
    </w:p>
    <w:p w14:paraId="226CF872" w14:textId="77777777" w:rsidR="00F65650" w:rsidRDefault="00F65650" w:rsidP="00F65650">
      <w:pPr>
        <w:rPr>
          <w:rFonts w:eastAsia="Calibri"/>
        </w:rPr>
      </w:pPr>
    </w:p>
    <w:p w14:paraId="4983F113" w14:textId="77777777" w:rsidR="00F65650" w:rsidRDefault="00F65650" w:rsidP="00F65650">
      <w:pPr>
        <w:pStyle w:val="Heading1"/>
        <w:rPr>
          <w:rFonts w:eastAsia="Calibri"/>
        </w:rPr>
      </w:pPr>
      <w:bookmarkStart w:id="10" w:name="_Toc489957737"/>
      <w:bookmarkStart w:id="11" w:name="_Toc492550807"/>
      <w:r>
        <w:rPr>
          <w:rFonts w:eastAsia="Calibri"/>
        </w:rPr>
        <w:t>Assessment and payment in the Barrier Free model</w:t>
      </w:r>
      <w:bookmarkEnd w:id="10"/>
      <w:bookmarkEnd w:id="11"/>
    </w:p>
    <w:p w14:paraId="65C44C11" w14:textId="77777777" w:rsidR="00F65650" w:rsidRPr="005A1A9B" w:rsidRDefault="00F65650" w:rsidP="00F65650">
      <w:pPr>
        <w:rPr>
          <w:rFonts w:eastAsia="Calibri"/>
        </w:rPr>
      </w:pPr>
      <w:r w:rsidRPr="005A1A9B">
        <w:rPr>
          <w:rFonts w:eastAsia="Calibri"/>
        </w:rPr>
        <w:t>The data collected by Access Canberra will enable the ACT Revenue Office to calculate the duty payable and apply any concessions or exemptions being claimed.</w:t>
      </w:r>
    </w:p>
    <w:p w14:paraId="36A70862" w14:textId="77777777" w:rsidR="00F65650" w:rsidRDefault="00F65650" w:rsidP="00F65650">
      <w:pPr>
        <w:rPr>
          <w:rFonts w:eastAsia="Calibri"/>
        </w:rPr>
      </w:pPr>
    </w:p>
    <w:p w14:paraId="40F97A22" w14:textId="77777777" w:rsidR="00F65650" w:rsidRPr="005A1A9B" w:rsidRDefault="00F65650" w:rsidP="00F65650">
      <w:pPr>
        <w:rPr>
          <w:rFonts w:eastAsia="Calibri"/>
        </w:rPr>
      </w:pPr>
      <w:r w:rsidRPr="005A1A9B">
        <w:rPr>
          <w:rFonts w:eastAsia="Calibri"/>
        </w:rPr>
        <w:t xml:space="preserve">A </w:t>
      </w:r>
      <w:r>
        <w:rPr>
          <w:rFonts w:eastAsia="Calibri"/>
        </w:rPr>
        <w:t>N</w:t>
      </w:r>
      <w:r w:rsidRPr="005A1A9B">
        <w:rPr>
          <w:rFonts w:eastAsia="Calibri"/>
        </w:rPr>
        <w:t xml:space="preserve">otice of </w:t>
      </w:r>
      <w:r>
        <w:rPr>
          <w:rFonts w:eastAsia="Calibri"/>
        </w:rPr>
        <w:t>A</w:t>
      </w:r>
      <w:r w:rsidRPr="005A1A9B">
        <w:rPr>
          <w:rFonts w:eastAsia="Calibri"/>
        </w:rPr>
        <w:t>ssessment will be generated and emailed to the primary taxpayer (being the first client named on the transfer instrument) and to the client’s authorised agent, if applicable.</w:t>
      </w:r>
    </w:p>
    <w:p w14:paraId="3DCF3EB9" w14:textId="77777777" w:rsidR="00F65650" w:rsidRPr="005A1A9B" w:rsidRDefault="00F65650" w:rsidP="00F65650">
      <w:pPr>
        <w:rPr>
          <w:rFonts w:eastAsia="Calibri"/>
        </w:rPr>
      </w:pPr>
    </w:p>
    <w:p w14:paraId="52A606EA" w14:textId="77777777" w:rsidR="00F65650" w:rsidRDefault="00F65650" w:rsidP="00F65650">
      <w:pPr>
        <w:rPr>
          <w:rFonts w:eastAsia="Calibri"/>
        </w:rPr>
      </w:pPr>
      <w:r w:rsidRPr="005A1A9B">
        <w:rPr>
          <w:rFonts w:eastAsia="Calibri"/>
        </w:rPr>
        <w:t>The notice of assessment will list all liable parties to the transaction, including details of the property being purchased, the duty amount payable, any concessions granted and the unique payment reference number. Payment is limited to BPAY or EFT and must be made within 14 days of title registration.</w:t>
      </w:r>
    </w:p>
    <w:p w14:paraId="46641254" w14:textId="77777777" w:rsidR="00F65650" w:rsidRPr="005A1A9B" w:rsidRDefault="00F65650" w:rsidP="00F65650">
      <w:pPr>
        <w:rPr>
          <w:rFonts w:eastAsia="Calibri"/>
        </w:rPr>
      </w:pPr>
    </w:p>
    <w:p w14:paraId="081FF9C2" w14:textId="77777777" w:rsidR="00F65650" w:rsidRDefault="00F65650" w:rsidP="00F65650">
      <w:pPr>
        <w:rPr>
          <w:rFonts w:eastAsia="Calibri"/>
        </w:rPr>
      </w:pPr>
      <w:r>
        <w:rPr>
          <w:rFonts w:eastAsia="Calibri"/>
        </w:rPr>
        <w:t>The taxpayer or authorised agent must</w:t>
      </w:r>
      <w:r w:rsidRPr="005A1A9B">
        <w:rPr>
          <w:rFonts w:eastAsia="Calibri"/>
        </w:rPr>
        <w:t xml:space="preserve"> make payment using their online pay</w:t>
      </w:r>
      <w:r>
        <w:rPr>
          <w:rFonts w:eastAsia="Calibri"/>
        </w:rPr>
        <w:t xml:space="preserve">ment facility. The taxpayer can </w:t>
      </w:r>
      <w:r w:rsidRPr="005A1A9B">
        <w:rPr>
          <w:rFonts w:eastAsia="Calibri"/>
        </w:rPr>
        <w:t>retain the receipt of payment from this process as evidence of duty having been paid.</w:t>
      </w:r>
    </w:p>
    <w:p w14:paraId="4DBD47C4" w14:textId="77777777" w:rsidR="00F65650" w:rsidRDefault="00F65650" w:rsidP="00F65650">
      <w:pPr>
        <w:rPr>
          <w:rFonts w:eastAsia="Calibri"/>
        </w:rPr>
      </w:pPr>
    </w:p>
    <w:p w14:paraId="7176FE32" w14:textId="77777777" w:rsidR="00F65650" w:rsidRDefault="00F65650" w:rsidP="00F65650">
      <w:pPr>
        <w:rPr>
          <w:rFonts w:eastAsia="Calibri"/>
        </w:rPr>
      </w:pPr>
      <w:r>
        <w:rPr>
          <w:rFonts w:eastAsia="Calibri"/>
        </w:rPr>
        <w:t>If a concession or exemption has been claimed, t</w:t>
      </w:r>
      <w:r w:rsidRPr="00325111">
        <w:rPr>
          <w:rFonts w:eastAsia="Calibri"/>
        </w:rPr>
        <w:t xml:space="preserve">he ACT Revenue Office </w:t>
      </w:r>
      <w:r>
        <w:rPr>
          <w:rFonts w:eastAsia="Calibri"/>
        </w:rPr>
        <w:t>will generate the Notice of Assessment with a nil amount or a reduced amount of duty, taking into account the relevant concession or exemption.</w:t>
      </w:r>
    </w:p>
    <w:p w14:paraId="7D02B5C0" w14:textId="77777777" w:rsidR="00F65650" w:rsidRDefault="00F65650" w:rsidP="00F65650">
      <w:pPr>
        <w:rPr>
          <w:rFonts w:eastAsia="Calibri"/>
        </w:rPr>
      </w:pPr>
    </w:p>
    <w:p w14:paraId="6C039509" w14:textId="77777777" w:rsidR="00F65650" w:rsidRDefault="00F65650" w:rsidP="00F65650">
      <w:pPr>
        <w:rPr>
          <w:rFonts w:eastAsia="Calibri"/>
        </w:rPr>
      </w:pPr>
      <w:r>
        <w:rPr>
          <w:rFonts w:eastAsia="Calibri"/>
        </w:rPr>
        <w:t>A</w:t>
      </w:r>
      <w:r w:rsidRPr="00325111">
        <w:rPr>
          <w:rFonts w:eastAsia="Calibri"/>
        </w:rPr>
        <w:t>ny other conditions of the associa</w:t>
      </w:r>
      <w:r>
        <w:rPr>
          <w:rFonts w:eastAsia="Calibri"/>
        </w:rPr>
        <w:t>ted concession or exemption, such as</w:t>
      </w:r>
      <w:r w:rsidRPr="00325111">
        <w:rPr>
          <w:rFonts w:eastAsia="Calibri"/>
        </w:rPr>
        <w:t xml:space="preserve"> residency requirements, will be stated </w:t>
      </w:r>
      <w:r>
        <w:rPr>
          <w:rFonts w:eastAsia="Calibri"/>
        </w:rPr>
        <w:t>in</w:t>
      </w:r>
      <w:r w:rsidRPr="00325111">
        <w:rPr>
          <w:rFonts w:eastAsia="Calibri"/>
        </w:rPr>
        <w:t xml:space="preserve"> the notice of assessment</w:t>
      </w:r>
      <w:r>
        <w:rPr>
          <w:rFonts w:eastAsia="Calibri"/>
        </w:rPr>
        <w:t xml:space="preserve">. </w:t>
      </w:r>
    </w:p>
    <w:p w14:paraId="60797813" w14:textId="77777777" w:rsidR="00F65650" w:rsidRDefault="00F65650">
      <w:pPr>
        <w:widowControl/>
        <w:suppressAutoHyphens w:val="0"/>
        <w:autoSpaceDE/>
        <w:spacing w:after="200" w:line="276" w:lineRule="auto"/>
        <w:ind w:left="0"/>
        <w:jc w:val="left"/>
        <w:rPr>
          <w:rFonts w:eastAsia="Calibri"/>
        </w:rPr>
      </w:pPr>
      <w:r>
        <w:rPr>
          <w:rFonts w:eastAsia="Calibri"/>
        </w:rPr>
        <w:br w:type="page"/>
      </w:r>
    </w:p>
    <w:p w14:paraId="2F0049D8" w14:textId="77777777" w:rsidR="00F65650" w:rsidRPr="00325111" w:rsidRDefault="00F65650" w:rsidP="00F65650">
      <w:pPr>
        <w:rPr>
          <w:rFonts w:eastAsia="Calibri"/>
        </w:rPr>
      </w:pPr>
    </w:p>
    <w:p w14:paraId="391DAE3F" w14:textId="77777777" w:rsidR="00F65650" w:rsidRDefault="00F65650" w:rsidP="00F65650">
      <w:pPr>
        <w:pStyle w:val="Heading1"/>
        <w:rPr>
          <w:rFonts w:eastAsia="Calibri"/>
        </w:rPr>
      </w:pPr>
      <w:bookmarkStart w:id="12" w:name="_Toc489957738"/>
      <w:bookmarkStart w:id="13" w:name="_Toc492550808"/>
      <w:r>
        <w:rPr>
          <w:rFonts w:eastAsia="Calibri"/>
        </w:rPr>
        <w:t>Compliance</w:t>
      </w:r>
      <w:bookmarkEnd w:id="12"/>
      <w:bookmarkEnd w:id="13"/>
    </w:p>
    <w:p w14:paraId="42B28B5E" w14:textId="77777777" w:rsidR="00F65650" w:rsidRDefault="00F65650" w:rsidP="00F65650">
      <w:pPr>
        <w:pStyle w:val="Heading2"/>
        <w:rPr>
          <w:rFonts w:eastAsia="Calibri"/>
        </w:rPr>
      </w:pPr>
      <w:r>
        <w:rPr>
          <w:rFonts w:eastAsia="Calibri"/>
        </w:rPr>
        <w:t>Late lodgement for registration</w:t>
      </w:r>
    </w:p>
    <w:p w14:paraId="56995EE0" w14:textId="77777777" w:rsidR="00F65650" w:rsidRDefault="00F65650" w:rsidP="00F65650">
      <w:pPr>
        <w:rPr>
          <w:rFonts w:eastAsia="Calibri"/>
          <w:i/>
        </w:rPr>
      </w:pPr>
      <w:r>
        <w:rPr>
          <w:rFonts w:eastAsia="Calibri"/>
        </w:rPr>
        <w:t>A failure to lodge for registration of title to a Barrier Free transaction in the required period after settlement is treated as a breach of the Land Titles Act (section 47C) and a tax default under the TAA</w:t>
      </w:r>
      <w:r>
        <w:rPr>
          <w:rFonts w:eastAsia="Calibri"/>
          <w:i/>
        </w:rPr>
        <w:t>.</w:t>
      </w:r>
    </w:p>
    <w:p w14:paraId="54D9AD63" w14:textId="77777777" w:rsidR="00F65650" w:rsidRDefault="00F65650" w:rsidP="00F65650">
      <w:pPr>
        <w:rPr>
          <w:rFonts w:eastAsia="Calibri"/>
          <w:i/>
        </w:rPr>
      </w:pPr>
    </w:p>
    <w:p w14:paraId="3DDD8C07" w14:textId="77777777" w:rsidR="00F65650" w:rsidRPr="00E70534" w:rsidRDefault="00F65650" w:rsidP="00F65650">
      <w:pPr>
        <w:rPr>
          <w:rFonts w:eastAsia="Calibri"/>
        </w:rPr>
      </w:pPr>
      <w:r>
        <w:rPr>
          <w:rFonts w:eastAsia="Calibri"/>
        </w:rPr>
        <w:t>The ACT Revenue Office reserves the right to impose penalties on the late registration of a dutiable transaction.</w:t>
      </w:r>
    </w:p>
    <w:p w14:paraId="7751B2F2" w14:textId="77777777" w:rsidR="00F65650" w:rsidRDefault="00F65650" w:rsidP="00F65650">
      <w:pPr>
        <w:pStyle w:val="Heading2"/>
        <w:rPr>
          <w:rFonts w:eastAsia="Calibri"/>
        </w:rPr>
      </w:pPr>
      <w:r>
        <w:rPr>
          <w:rFonts w:eastAsia="Calibri"/>
        </w:rPr>
        <w:t>Late payments</w:t>
      </w:r>
    </w:p>
    <w:p w14:paraId="144AD5EB" w14:textId="77777777" w:rsidR="00F65650" w:rsidRDefault="00F65650" w:rsidP="00F65650">
      <w:pPr>
        <w:rPr>
          <w:rFonts w:eastAsia="Calibri"/>
        </w:rPr>
      </w:pPr>
      <w:r w:rsidRPr="005A1A9B">
        <w:rPr>
          <w:rFonts w:eastAsia="Calibri"/>
        </w:rPr>
        <w:t>Interest is charged on late payments of stamp duty. This process does not change with the Barrier Free model.</w:t>
      </w:r>
      <w:r>
        <w:rPr>
          <w:rFonts w:eastAsia="Calibri"/>
        </w:rPr>
        <w:t xml:space="preserve"> </w:t>
      </w:r>
      <w:r w:rsidRPr="005A1A9B">
        <w:rPr>
          <w:rFonts w:eastAsia="Calibri"/>
        </w:rPr>
        <w:t>If payment is received late and</w:t>
      </w:r>
      <w:r>
        <w:rPr>
          <w:rFonts w:eastAsia="Calibri"/>
        </w:rPr>
        <w:t xml:space="preserve"> interest has been imposed, the taxpayer </w:t>
      </w:r>
      <w:r w:rsidRPr="005A1A9B">
        <w:rPr>
          <w:rFonts w:eastAsia="Calibri"/>
        </w:rPr>
        <w:t>will be contacted by the ACT Revenue Office’s Debt Management Unit regarding the interest payable. If payment is made on time no further interaction will be required</w:t>
      </w:r>
      <w:r>
        <w:rPr>
          <w:rFonts w:eastAsia="Calibri"/>
        </w:rPr>
        <w:t xml:space="preserve"> with the ACT </w:t>
      </w:r>
      <w:r w:rsidRPr="005A1A9B">
        <w:rPr>
          <w:rFonts w:eastAsia="Calibri"/>
        </w:rPr>
        <w:t>Revenue Office for this transaction</w:t>
      </w:r>
      <w:r>
        <w:rPr>
          <w:rFonts w:eastAsia="Calibri"/>
        </w:rPr>
        <w:t xml:space="preserve">. </w:t>
      </w:r>
    </w:p>
    <w:p w14:paraId="15FD5058" w14:textId="77777777" w:rsidR="00F65650" w:rsidRDefault="00F65650" w:rsidP="00F65650">
      <w:pPr>
        <w:rPr>
          <w:rFonts w:eastAsia="Calibri"/>
        </w:rPr>
      </w:pPr>
    </w:p>
    <w:p w14:paraId="32000DBF" w14:textId="77777777" w:rsidR="00F65650" w:rsidRDefault="00F65650" w:rsidP="00F65650">
      <w:pPr>
        <w:rPr>
          <w:rFonts w:eastAsia="Calibri"/>
        </w:rPr>
      </w:pPr>
      <w:r w:rsidRPr="005A1A9B">
        <w:rPr>
          <w:rFonts w:eastAsia="Calibri"/>
        </w:rPr>
        <w:t xml:space="preserve">Penalty tax may be imposed in addition to interest if </w:t>
      </w:r>
      <w:r>
        <w:rPr>
          <w:rFonts w:eastAsia="Calibri"/>
        </w:rPr>
        <w:t>the taxpayer</w:t>
      </w:r>
      <w:r w:rsidRPr="005A1A9B">
        <w:rPr>
          <w:rFonts w:eastAsia="Calibri"/>
        </w:rPr>
        <w:t xml:space="preserve"> ha</w:t>
      </w:r>
      <w:r>
        <w:rPr>
          <w:rFonts w:eastAsia="Calibri"/>
        </w:rPr>
        <w:t>s</w:t>
      </w:r>
      <w:r w:rsidRPr="005A1A9B">
        <w:rPr>
          <w:rFonts w:eastAsia="Calibri"/>
        </w:rPr>
        <w:t xml:space="preserve"> failed to meet obligations required by the law.</w:t>
      </w:r>
    </w:p>
    <w:p w14:paraId="471C20B1" w14:textId="77777777" w:rsidR="00F65650" w:rsidRDefault="00F65650" w:rsidP="00F65650">
      <w:pPr>
        <w:pStyle w:val="Heading2"/>
        <w:rPr>
          <w:rFonts w:eastAsia="Calibri"/>
        </w:rPr>
      </w:pPr>
      <w:r>
        <w:rPr>
          <w:rFonts w:eastAsia="Calibri"/>
        </w:rPr>
        <w:t>Verification of transactions</w:t>
      </w:r>
    </w:p>
    <w:p w14:paraId="1D1F0B02" w14:textId="77777777" w:rsidR="00F65650" w:rsidRDefault="00F65650" w:rsidP="00F65650">
      <w:pPr>
        <w:rPr>
          <w:rFonts w:eastAsia="Calibri"/>
        </w:rPr>
      </w:pPr>
      <w:r w:rsidRPr="007F0BD4">
        <w:rPr>
          <w:rFonts w:eastAsia="Calibri"/>
        </w:rPr>
        <w:t xml:space="preserve">The ACT Revenue Office will verify and </w:t>
      </w:r>
      <w:r>
        <w:rPr>
          <w:rFonts w:eastAsia="Calibri"/>
        </w:rPr>
        <w:t>review</w:t>
      </w:r>
      <w:r w:rsidRPr="007F0BD4">
        <w:rPr>
          <w:rFonts w:eastAsia="Calibri"/>
        </w:rPr>
        <w:t xml:space="preserve"> transactions registered at Access Canberra for any anomalies</w:t>
      </w:r>
      <w:r>
        <w:rPr>
          <w:rFonts w:eastAsia="Calibri"/>
        </w:rPr>
        <w:t>, and may contact the taxpayer after payment as part of this review</w:t>
      </w:r>
      <w:r w:rsidRPr="007F0BD4">
        <w:rPr>
          <w:rFonts w:eastAsia="Calibri"/>
        </w:rPr>
        <w:t xml:space="preserve">. </w:t>
      </w:r>
      <w:r w:rsidRPr="00BA464F">
        <w:rPr>
          <w:rFonts w:eastAsia="Calibri"/>
        </w:rPr>
        <w:t>The ACT</w:t>
      </w:r>
      <w:r>
        <w:rPr>
          <w:rFonts w:eastAsia="Calibri"/>
        </w:rPr>
        <w:t> </w:t>
      </w:r>
      <w:r w:rsidRPr="00BA464F">
        <w:rPr>
          <w:rFonts w:eastAsia="Calibri"/>
        </w:rPr>
        <w:t xml:space="preserve">Revenue Office may also review </w:t>
      </w:r>
      <w:r>
        <w:rPr>
          <w:rFonts w:eastAsia="Calibri"/>
        </w:rPr>
        <w:t xml:space="preserve">the taxpayer’s </w:t>
      </w:r>
      <w:r w:rsidRPr="00BA464F">
        <w:rPr>
          <w:rFonts w:eastAsia="Calibri"/>
        </w:rPr>
        <w:t xml:space="preserve">eligibility after payment if </w:t>
      </w:r>
      <w:r>
        <w:rPr>
          <w:rFonts w:eastAsia="Calibri"/>
        </w:rPr>
        <w:t>they</w:t>
      </w:r>
      <w:r w:rsidRPr="00BA464F">
        <w:rPr>
          <w:rFonts w:eastAsia="Calibri"/>
        </w:rPr>
        <w:t xml:space="preserve"> have claimed a concession.</w:t>
      </w:r>
    </w:p>
    <w:p w14:paraId="4AF603FF" w14:textId="77777777" w:rsidR="00F65650" w:rsidRDefault="00F65650" w:rsidP="00F65650">
      <w:pPr>
        <w:rPr>
          <w:rFonts w:eastAsia="Calibri"/>
        </w:rPr>
      </w:pPr>
    </w:p>
    <w:p w14:paraId="5B043749" w14:textId="77777777" w:rsidR="00F65650" w:rsidRDefault="00F65650" w:rsidP="00F65650">
      <w:pPr>
        <w:rPr>
          <w:rFonts w:eastAsia="Calibri"/>
        </w:rPr>
      </w:pPr>
      <w:r>
        <w:rPr>
          <w:rFonts w:eastAsia="Calibri"/>
        </w:rPr>
        <w:t>Taxpayers</w:t>
      </w:r>
      <w:r w:rsidRPr="007F0BD4">
        <w:rPr>
          <w:rFonts w:eastAsia="Calibri"/>
        </w:rPr>
        <w:t xml:space="preserve"> are required to keep proper records of the transaction for 5 years under the </w:t>
      </w:r>
      <w:r>
        <w:rPr>
          <w:rFonts w:eastAsia="Calibri"/>
          <w:iCs/>
        </w:rPr>
        <w:t>TAA</w:t>
      </w:r>
      <w:r w:rsidRPr="007F0BD4">
        <w:rPr>
          <w:rFonts w:eastAsia="Calibri"/>
        </w:rPr>
        <w:t xml:space="preserve">, as with other ACT taxes. </w:t>
      </w:r>
    </w:p>
    <w:p w14:paraId="4BC9C9B4" w14:textId="77777777" w:rsidR="00F65650" w:rsidRDefault="00F65650" w:rsidP="00F65650">
      <w:pPr>
        <w:pStyle w:val="Heading2"/>
        <w:rPr>
          <w:rFonts w:eastAsia="Calibri"/>
        </w:rPr>
      </w:pPr>
      <w:r>
        <w:rPr>
          <w:rFonts w:eastAsia="Calibri"/>
        </w:rPr>
        <w:t>Unregistered transactions</w:t>
      </w:r>
    </w:p>
    <w:p w14:paraId="174BE498" w14:textId="77777777" w:rsidR="00F65650" w:rsidRDefault="00F65650" w:rsidP="00F65650">
      <w:pPr>
        <w:rPr>
          <w:rFonts w:eastAsia="Calibri"/>
        </w:rPr>
      </w:pPr>
      <w:r w:rsidRPr="007F0BD4">
        <w:rPr>
          <w:rFonts w:eastAsia="Calibri"/>
        </w:rPr>
        <w:t xml:space="preserve">Holders of unregistered title may be exposed to financial risk </w:t>
      </w:r>
      <w:r>
        <w:rPr>
          <w:rFonts w:eastAsia="Calibri"/>
        </w:rPr>
        <w:t xml:space="preserve">if </w:t>
      </w:r>
      <w:r w:rsidRPr="007F0BD4">
        <w:rPr>
          <w:rFonts w:eastAsia="Calibri"/>
        </w:rPr>
        <w:t xml:space="preserve">legal title to the property </w:t>
      </w:r>
      <w:r>
        <w:rPr>
          <w:rFonts w:eastAsia="Calibri"/>
        </w:rPr>
        <w:t>is</w:t>
      </w:r>
      <w:r w:rsidRPr="007F0BD4">
        <w:rPr>
          <w:rFonts w:eastAsia="Calibri"/>
        </w:rPr>
        <w:t xml:space="preserve"> recorded in the previous owner’s name. It is in everyone’s interest to lodge an interest for registration as soon as possible. </w:t>
      </w:r>
    </w:p>
    <w:p w14:paraId="558D6BC4" w14:textId="77777777" w:rsidR="00F65650" w:rsidRDefault="00F65650" w:rsidP="00F65650">
      <w:pPr>
        <w:rPr>
          <w:rFonts w:eastAsia="Calibri"/>
        </w:rPr>
      </w:pPr>
    </w:p>
    <w:p w14:paraId="2D6C2229" w14:textId="6C0BB5F1" w:rsidR="00F65650" w:rsidRDefault="00F65650" w:rsidP="00F65650">
      <w:pPr>
        <w:rPr>
          <w:rFonts w:eastAsia="Calibri"/>
        </w:rPr>
      </w:pPr>
      <w:r>
        <w:rPr>
          <w:rFonts w:eastAsia="Calibri"/>
        </w:rPr>
        <w:t>If a transaction is intentionally not registered to avoid payment of duty, the Commissioner will regard the act as a tax default in making an assessment of the duty owed. Penalties may be applied in the</w:t>
      </w:r>
      <w:r w:rsidR="00FB0895">
        <w:rPr>
          <w:rFonts w:eastAsia="Calibri"/>
        </w:rPr>
        <w:t>se</w:t>
      </w:r>
      <w:r>
        <w:rPr>
          <w:rFonts w:eastAsia="Calibri"/>
        </w:rPr>
        <w:t xml:space="preserve"> circumstances.</w:t>
      </w:r>
      <w:bookmarkStart w:id="14" w:name="_Toc489957739"/>
    </w:p>
    <w:p w14:paraId="28673E36" w14:textId="77777777" w:rsidR="00F65650" w:rsidRDefault="00F65650" w:rsidP="00F65650">
      <w:pPr>
        <w:rPr>
          <w:rFonts w:eastAsia="Calibri"/>
        </w:rPr>
      </w:pPr>
    </w:p>
    <w:p w14:paraId="1BCA63C1" w14:textId="77777777" w:rsidR="00F65650" w:rsidRPr="00513B5F" w:rsidRDefault="00F65650" w:rsidP="00F65650">
      <w:pPr>
        <w:pStyle w:val="Heading1"/>
        <w:rPr>
          <w:rFonts w:eastAsia="Calibri"/>
        </w:rPr>
      </w:pPr>
      <w:bookmarkStart w:id="15" w:name="_Toc492550809"/>
      <w:r>
        <w:rPr>
          <w:rFonts w:eastAsia="Calibri"/>
        </w:rPr>
        <w:t>Non-Barrier Free transactions</w:t>
      </w:r>
      <w:bookmarkEnd w:id="14"/>
      <w:bookmarkEnd w:id="15"/>
    </w:p>
    <w:p w14:paraId="3E619730" w14:textId="77777777" w:rsidR="00F65650" w:rsidRDefault="00F65650" w:rsidP="00F65650">
      <w:pPr>
        <w:rPr>
          <w:rFonts w:eastAsia="Calibri"/>
        </w:rPr>
      </w:pPr>
      <w:r>
        <w:rPr>
          <w:rFonts w:eastAsia="Calibri"/>
        </w:rPr>
        <w:t xml:space="preserve">Dutiable transactions </w:t>
      </w:r>
      <w:r w:rsidRPr="00975FF6">
        <w:rPr>
          <w:rFonts w:eastAsia="Calibri"/>
        </w:rPr>
        <w:t>which do not affect the</w:t>
      </w:r>
      <w:r>
        <w:rPr>
          <w:rFonts w:eastAsia="Calibri"/>
        </w:rPr>
        <w:t xml:space="preserve"> register under the</w:t>
      </w:r>
      <w:r w:rsidRPr="00975FF6">
        <w:rPr>
          <w:rFonts w:eastAsia="Calibri"/>
        </w:rPr>
        <w:t xml:space="preserve"> Land Titles </w:t>
      </w:r>
      <w:r>
        <w:rPr>
          <w:rFonts w:eastAsia="Calibri"/>
        </w:rPr>
        <w:t>Act, or do not cause a change to the register in every case, are treated as being outside the Barrier Free model.</w:t>
      </w:r>
      <w:r w:rsidRPr="00975FF6">
        <w:rPr>
          <w:rFonts w:eastAsia="Calibri"/>
        </w:rPr>
        <w:t xml:space="preserve"> </w:t>
      </w:r>
    </w:p>
    <w:p w14:paraId="40F1EF7E" w14:textId="77777777" w:rsidR="00F65650" w:rsidRDefault="00F65650" w:rsidP="00F65650">
      <w:pPr>
        <w:rPr>
          <w:rFonts w:eastAsia="Calibri"/>
        </w:rPr>
      </w:pPr>
    </w:p>
    <w:p w14:paraId="1C7D938F" w14:textId="77777777" w:rsidR="00F65650" w:rsidRPr="00975FF6" w:rsidRDefault="00F65650" w:rsidP="00F65650">
      <w:pPr>
        <w:rPr>
          <w:rFonts w:eastAsia="Calibri"/>
        </w:rPr>
      </w:pPr>
      <w:r w:rsidRPr="00975FF6">
        <w:rPr>
          <w:rFonts w:eastAsia="Calibri"/>
        </w:rPr>
        <w:t>These transactions include:</w:t>
      </w:r>
    </w:p>
    <w:p w14:paraId="1892A62D" w14:textId="77777777" w:rsidR="00F65650" w:rsidRPr="00F65650" w:rsidRDefault="00F65650" w:rsidP="00F65650">
      <w:pPr>
        <w:pStyle w:val="ListParagraph"/>
        <w:widowControl/>
        <w:numPr>
          <w:ilvl w:val="0"/>
          <w:numId w:val="41"/>
        </w:numPr>
        <w:suppressAutoHyphens w:val="0"/>
        <w:autoSpaceDE/>
        <w:autoSpaceDN/>
        <w:ind w:left="1857"/>
        <w:contextualSpacing/>
        <w:jc w:val="left"/>
        <w:textAlignment w:val="auto"/>
        <w:rPr>
          <w:rFonts w:eastAsia="Calibri"/>
        </w:rPr>
      </w:pPr>
      <w:r w:rsidRPr="00F65650">
        <w:rPr>
          <w:rFonts w:eastAsia="Calibri"/>
        </w:rPr>
        <w:t>Chapter 3 Transactions (landholder duty acquisitions)</w:t>
      </w:r>
    </w:p>
    <w:p w14:paraId="4CFDBBED" w14:textId="77777777" w:rsidR="00F65650" w:rsidRPr="00F65650" w:rsidRDefault="00F65650" w:rsidP="00F65650">
      <w:pPr>
        <w:pStyle w:val="ListParagraph"/>
        <w:widowControl/>
        <w:numPr>
          <w:ilvl w:val="0"/>
          <w:numId w:val="41"/>
        </w:numPr>
        <w:suppressAutoHyphens w:val="0"/>
        <w:autoSpaceDE/>
        <w:autoSpaceDN/>
        <w:ind w:left="1857"/>
        <w:contextualSpacing/>
        <w:jc w:val="left"/>
        <w:textAlignment w:val="auto"/>
        <w:rPr>
          <w:rFonts w:eastAsia="Calibri"/>
        </w:rPr>
      </w:pPr>
      <w:r w:rsidRPr="00F65650">
        <w:rPr>
          <w:rFonts w:eastAsia="Calibri"/>
        </w:rPr>
        <w:t>Corporate Reconstruction Transactions</w:t>
      </w:r>
    </w:p>
    <w:p w14:paraId="3D1F5A0D" w14:textId="77777777" w:rsidR="00F65650" w:rsidRPr="00F65650" w:rsidRDefault="00F65650" w:rsidP="00F65650">
      <w:pPr>
        <w:pStyle w:val="ListParagraph"/>
        <w:widowControl/>
        <w:numPr>
          <w:ilvl w:val="0"/>
          <w:numId w:val="41"/>
        </w:numPr>
        <w:suppressAutoHyphens w:val="0"/>
        <w:autoSpaceDE/>
        <w:autoSpaceDN/>
        <w:ind w:left="1857"/>
        <w:contextualSpacing/>
        <w:jc w:val="left"/>
        <w:textAlignment w:val="auto"/>
        <w:rPr>
          <w:rFonts w:eastAsia="Calibri"/>
        </w:rPr>
      </w:pPr>
      <w:r w:rsidRPr="00F65650">
        <w:rPr>
          <w:rFonts w:eastAsia="Calibri"/>
        </w:rPr>
        <w:t>Declarations of Trust</w:t>
      </w:r>
    </w:p>
    <w:p w14:paraId="76CE6E39" w14:textId="77777777" w:rsidR="00F65650" w:rsidRPr="00F65650" w:rsidRDefault="00F65650" w:rsidP="00F65650">
      <w:pPr>
        <w:pStyle w:val="ListParagraph"/>
        <w:widowControl/>
        <w:numPr>
          <w:ilvl w:val="0"/>
          <w:numId w:val="41"/>
        </w:numPr>
        <w:suppressAutoHyphens w:val="0"/>
        <w:autoSpaceDE/>
        <w:autoSpaceDN/>
        <w:ind w:left="1857"/>
        <w:contextualSpacing/>
        <w:jc w:val="left"/>
        <w:textAlignment w:val="auto"/>
        <w:rPr>
          <w:rFonts w:eastAsia="Calibri"/>
        </w:rPr>
      </w:pPr>
      <w:r w:rsidRPr="00F65650">
        <w:rPr>
          <w:rFonts w:eastAsia="Calibri"/>
        </w:rPr>
        <w:t xml:space="preserve">Grants of Commercial Leases with a Premium </w:t>
      </w:r>
    </w:p>
    <w:p w14:paraId="6867882D" w14:textId="77777777" w:rsidR="00F65650" w:rsidRPr="00F65650" w:rsidRDefault="00F65650" w:rsidP="00F65650">
      <w:pPr>
        <w:pStyle w:val="ListParagraph"/>
        <w:widowControl/>
        <w:numPr>
          <w:ilvl w:val="0"/>
          <w:numId w:val="41"/>
        </w:numPr>
        <w:suppressAutoHyphens w:val="0"/>
        <w:autoSpaceDE/>
        <w:autoSpaceDN/>
        <w:ind w:left="1857"/>
        <w:contextualSpacing/>
        <w:jc w:val="left"/>
        <w:textAlignment w:val="auto"/>
        <w:rPr>
          <w:rFonts w:eastAsia="Calibri"/>
        </w:rPr>
      </w:pPr>
      <w:r w:rsidRPr="00F65650">
        <w:rPr>
          <w:rFonts w:eastAsia="Calibri"/>
        </w:rPr>
        <w:t>Land Use Entitlements</w:t>
      </w:r>
    </w:p>
    <w:p w14:paraId="66E00FC5" w14:textId="77777777" w:rsidR="00F65650" w:rsidRPr="00F65650" w:rsidRDefault="00F65650" w:rsidP="00F65650">
      <w:pPr>
        <w:pStyle w:val="ListParagraph"/>
        <w:widowControl/>
        <w:numPr>
          <w:ilvl w:val="0"/>
          <w:numId w:val="41"/>
        </w:numPr>
        <w:suppressAutoHyphens w:val="0"/>
        <w:autoSpaceDE/>
        <w:autoSpaceDN/>
        <w:ind w:left="1857"/>
        <w:contextualSpacing/>
        <w:jc w:val="left"/>
        <w:textAlignment w:val="auto"/>
        <w:rPr>
          <w:rFonts w:eastAsia="Calibri"/>
        </w:rPr>
      </w:pPr>
      <w:r w:rsidRPr="00F65650">
        <w:rPr>
          <w:rFonts w:eastAsia="Calibri"/>
        </w:rPr>
        <w:t>Options to Purchase Land</w:t>
      </w:r>
    </w:p>
    <w:p w14:paraId="3CC9E836" w14:textId="77777777" w:rsidR="00F65650" w:rsidRPr="00F65650" w:rsidRDefault="00F65650" w:rsidP="00F65650">
      <w:pPr>
        <w:pStyle w:val="ListParagraph"/>
        <w:widowControl/>
        <w:numPr>
          <w:ilvl w:val="0"/>
          <w:numId w:val="41"/>
        </w:numPr>
        <w:suppressAutoHyphens w:val="0"/>
        <w:autoSpaceDE/>
        <w:autoSpaceDN/>
        <w:ind w:left="1857"/>
        <w:contextualSpacing/>
        <w:jc w:val="left"/>
        <w:textAlignment w:val="auto"/>
        <w:rPr>
          <w:rFonts w:eastAsia="Calibri"/>
        </w:rPr>
      </w:pPr>
      <w:r w:rsidRPr="00F65650">
        <w:rPr>
          <w:rFonts w:eastAsia="Calibri"/>
        </w:rPr>
        <w:t>Partnership Interests</w:t>
      </w:r>
    </w:p>
    <w:p w14:paraId="28DE2BD2" w14:textId="77777777" w:rsidR="00F65650" w:rsidRPr="00F65650" w:rsidRDefault="00F65650" w:rsidP="00F65650">
      <w:pPr>
        <w:pStyle w:val="ListParagraph"/>
        <w:widowControl/>
        <w:numPr>
          <w:ilvl w:val="0"/>
          <w:numId w:val="41"/>
        </w:numPr>
        <w:suppressAutoHyphens w:val="0"/>
        <w:autoSpaceDE/>
        <w:autoSpaceDN/>
        <w:ind w:left="1857"/>
        <w:contextualSpacing/>
        <w:jc w:val="left"/>
        <w:textAlignment w:val="auto"/>
        <w:rPr>
          <w:rFonts w:eastAsia="Calibri"/>
        </w:rPr>
      </w:pPr>
      <w:proofErr w:type="spellStart"/>
      <w:r w:rsidRPr="00F65650">
        <w:rPr>
          <w:rFonts w:eastAsia="Calibri"/>
        </w:rPr>
        <w:t>Subsales</w:t>
      </w:r>
      <w:proofErr w:type="spellEnd"/>
    </w:p>
    <w:p w14:paraId="6E43E6B6" w14:textId="77777777" w:rsidR="00F65650" w:rsidRDefault="00F65650" w:rsidP="00F65650">
      <w:pPr>
        <w:rPr>
          <w:rFonts w:eastAsia="Calibri"/>
        </w:rPr>
      </w:pPr>
    </w:p>
    <w:p w14:paraId="3DF6C2A3" w14:textId="77777777" w:rsidR="00F65650" w:rsidRDefault="00F65650" w:rsidP="00F65650">
      <w:pPr>
        <w:rPr>
          <w:rFonts w:eastAsia="Calibri"/>
        </w:rPr>
      </w:pPr>
      <w:r w:rsidRPr="001458B3">
        <w:rPr>
          <w:rFonts w:eastAsia="Calibri"/>
        </w:rPr>
        <w:t>In general, these transactions must be lodged directly with the ACT Revenue Office in order to be assessed with duty in compliance with the legislation.</w:t>
      </w:r>
    </w:p>
    <w:p w14:paraId="3E95BE0F" w14:textId="77777777" w:rsidR="00F65650" w:rsidRPr="001458B3" w:rsidRDefault="00F65650" w:rsidP="00F65650">
      <w:pPr>
        <w:rPr>
          <w:rFonts w:eastAsia="Calibri"/>
        </w:rPr>
      </w:pPr>
    </w:p>
    <w:p w14:paraId="11A90CEF" w14:textId="77777777" w:rsidR="00F65650" w:rsidRDefault="00F65650" w:rsidP="00F65650">
      <w:pPr>
        <w:rPr>
          <w:rFonts w:eastAsia="Calibri"/>
        </w:rPr>
      </w:pPr>
      <w:r w:rsidRPr="00975FF6">
        <w:rPr>
          <w:rFonts w:eastAsia="Calibri"/>
        </w:rPr>
        <w:t>The duty liability for these transactions will continue to be payable 90 days from the grant, transfer or agreement being executed, whichever is earlier. Payment is limited to BPAY or Electronic Funds Transfer.</w:t>
      </w:r>
    </w:p>
    <w:p w14:paraId="1D61EB3E" w14:textId="77777777" w:rsidR="00F65650" w:rsidRPr="00975FF6" w:rsidRDefault="00F65650" w:rsidP="00F65650">
      <w:pPr>
        <w:rPr>
          <w:rFonts w:eastAsia="Calibri"/>
        </w:rPr>
      </w:pPr>
    </w:p>
    <w:p w14:paraId="508A68C3" w14:textId="77777777" w:rsidR="00F65650" w:rsidRDefault="00F65650" w:rsidP="00F65650">
      <w:pPr>
        <w:rPr>
          <w:rFonts w:eastAsia="Calibri"/>
        </w:rPr>
      </w:pPr>
      <w:r>
        <w:rPr>
          <w:rFonts w:eastAsia="Calibri"/>
        </w:rPr>
        <w:t xml:space="preserve">Lodgement of transactions outside the Barrier Free model must be by SmartForm. All SmartForms are available on the ACT Revenue Office website at </w:t>
      </w:r>
      <w:hyperlink r:id="rId18" w:history="1">
        <w:r w:rsidRPr="00DC194C">
          <w:rPr>
            <w:rStyle w:val="Hyperlink"/>
            <w:rFonts w:eastAsia="Calibri"/>
          </w:rPr>
          <w:t>www.revenue.act.gov.au</w:t>
        </w:r>
      </w:hyperlink>
      <w:r>
        <w:rPr>
          <w:rFonts w:eastAsia="Calibri"/>
        </w:rPr>
        <w:t>. The SmartForm must attach all required supporting documentation for a duty assessment to</w:t>
      </w:r>
      <w:r w:rsidRPr="00975FF6">
        <w:rPr>
          <w:rFonts w:eastAsia="Calibri"/>
        </w:rPr>
        <w:t xml:space="preserve"> be raised</w:t>
      </w:r>
      <w:r>
        <w:rPr>
          <w:rFonts w:eastAsia="Calibri"/>
        </w:rPr>
        <w:t xml:space="preserve">. </w:t>
      </w:r>
    </w:p>
    <w:p w14:paraId="68E1E65E" w14:textId="77777777" w:rsidR="00F65650" w:rsidRDefault="00F65650" w:rsidP="00F65650">
      <w:pPr>
        <w:rPr>
          <w:rFonts w:eastAsia="Calibri"/>
        </w:rPr>
      </w:pPr>
    </w:p>
    <w:p w14:paraId="3D4F82B5" w14:textId="77777777" w:rsidR="00F65650" w:rsidRDefault="00F65650" w:rsidP="00F65650">
      <w:pPr>
        <w:rPr>
          <w:rFonts w:eastAsia="Calibri"/>
        </w:rPr>
      </w:pPr>
      <w:r w:rsidRPr="00975FF6">
        <w:rPr>
          <w:rFonts w:eastAsia="Calibri"/>
        </w:rPr>
        <w:t>A Notice of Assessment will b</w:t>
      </w:r>
      <w:r>
        <w:rPr>
          <w:rFonts w:eastAsia="Calibri"/>
        </w:rPr>
        <w:t>e generated and emailed to the p</w:t>
      </w:r>
      <w:r w:rsidRPr="00975FF6">
        <w:rPr>
          <w:rFonts w:eastAsia="Calibri"/>
        </w:rPr>
        <w:t xml:space="preserve">rimary </w:t>
      </w:r>
      <w:r>
        <w:rPr>
          <w:rFonts w:eastAsia="Calibri"/>
        </w:rPr>
        <w:t>t</w:t>
      </w:r>
      <w:r w:rsidRPr="00975FF6">
        <w:rPr>
          <w:rFonts w:eastAsia="Calibri"/>
        </w:rPr>
        <w:t xml:space="preserve">axpayer and </w:t>
      </w:r>
      <w:r>
        <w:rPr>
          <w:rFonts w:eastAsia="Calibri"/>
        </w:rPr>
        <w:t>agent</w:t>
      </w:r>
      <w:r w:rsidRPr="00975FF6">
        <w:rPr>
          <w:rFonts w:eastAsia="Calibri"/>
        </w:rPr>
        <w:t>, if applicable. The Notice of Assessment will list all liable parties to the transaction, including details of the dutiable transaction, the duty amount payable and the unique payment reference number.</w:t>
      </w:r>
    </w:p>
    <w:p w14:paraId="2E563C70" w14:textId="77777777" w:rsidR="00F65650" w:rsidRDefault="00F65650" w:rsidP="00F65650">
      <w:pPr>
        <w:rPr>
          <w:rFonts w:eastAsia="Calibri"/>
        </w:rPr>
      </w:pPr>
    </w:p>
    <w:p w14:paraId="36C45230" w14:textId="4E0B2D72" w:rsidR="003537C1" w:rsidRDefault="003537C1" w:rsidP="003537C1">
      <w:r>
        <w:t xml:space="preserve">For more information, see the information </w:t>
      </w:r>
      <w:r w:rsidR="00AF786B">
        <w:t>under the ‘Barrier</w:t>
      </w:r>
      <w:r>
        <w:t xml:space="preserve"> Free Conveyancing’ tab on </w:t>
      </w:r>
      <w:hyperlink r:id="rId19" w:history="1">
        <w:r w:rsidRPr="00D83131">
          <w:rPr>
            <w:rStyle w:val="Hyperlink"/>
          </w:rPr>
          <w:t>www.revenue.act.gov.au</w:t>
        </w:r>
      </w:hyperlink>
      <w:r>
        <w:t>.</w:t>
      </w:r>
    </w:p>
    <w:p w14:paraId="26771651" w14:textId="77777777" w:rsidR="00F65650" w:rsidRDefault="00F65650" w:rsidP="00F65650">
      <w:pPr>
        <w:rPr>
          <w:rFonts w:eastAsia="Calibri"/>
        </w:rPr>
      </w:pPr>
    </w:p>
    <w:p w14:paraId="419FF57F" w14:textId="77777777" w:rsidR="00F65650" w:rsidRDefault="00F65650" w:rsidP="00F65650">
      <w:pPr>
        <w:pStyle w:val="Heading1"/>
        <w:rPr>
          <w:rFonts w:eastAsia="Calibri"/>
        </w:rPr>
      </w:pPr>
      <w:bookmarkStart w:id="16" w:name="_Toc489957740"/>
      <w:bookmarkStart w:id="17" w:name="_Toc492550810"/>
      <w:r>
        <w:rPr>
          <w:rFonts w:eastAsia="Calibri"/>
        </w:rPr>
        <w:t>Transactions</w:t>
      </w:r>
      <w:bookmarkEnd w:id="16"/>
      <w:r>
        <w:rPr>
          <w:rFonts w:eastAsia="Calibri"/>
        </w:rPr>
        <w:t xml:space="preserve"> before 18 September 2017</w:t>
      </w:r>
      <w:bookmarkEnd w:id="17"/>
    </w:p>
    <w:p w14:paraId="3099DB56" w14:textId="77777777" w:rsidR="00F65650" w:rsidRDefault="00F65650" w:rsidP="00F65650">
      <w:pPr>
        <w:rPr>
          <w:rFonts w:eastAsia="Calibri"/>
        </w:rPr>
      </w:pPr>
      <w:r>
        <w:rPr>
          <w:rFonts w:eastAsia="Calibri"/>
        </w:rPr>
        <w:t>Any dutiable transaction for which the contract or instrument was executed before 18 September 2017, and for which duty was not paid by that date, is subject to special transitional rules.</w:t>
      </w:r>
    </w:p>
    <w:p w14:paraId="19802FB0" w14:textId="77777777" w:rsidR="00F65650" w:rsidRDefault="00F65650" w:rsidP="00F65650">
      <w:pPr>
        <w:rPr>
          <w:rFonts w:eastAsia="Calibri"/>
        </w:rPr>
      </w:pPr>
    </w:p>
    <w:p w14:paraId="65B22450" w14:textId="77777777" w:rsidR="00F65650" w:rsidRDefault="00F65650" w:rsidP="00F65650">
      <w:pPr>
        <w:rPr>
          <w:rFonts w:eastAsia="Calibri"/>
        </w:rPr>
      </w:pPr>
      <w:r>
        <w:rPr>
          <w:rFonts w:eastAsia="Calibri"/>
        </w:rPr>
        <w:t xml:space="preserve">Under the Barrier Free amendments, the old conveyancing rules continue to apply to such ‘in-flight’ transactions. That is, </w:t>
      </w:r>
      <w:r w:rsidRPr="00D822E8">
        <w:rPr>
          <w:rFonts w:eastAsia="Calibri"/>
        </w:rPr>
        <w:t>duty must be paid within 90 days and stamping of the dutiable instrument is required</w:t>
      </w:r>
      <w:r>
        <w:rPr>
          <w:rFonts w:eastAsia="Calibri"/>
        </w:rPr>
        <w:t>.</w:t>
      </w:r>
    </w:p>
    <w:p w14:paraId="7E2805CC" w14:textId="77777777" w:rsidR="00F65650" w:rsidRDefault="00F65650" w:rsidP="00F65650">
      <w:pPr>
        <w:rPr>
          <w:rFonts w:eastAsia="Calibri"/>
        </w:rPr>
      </w:pPr>
    </w:p>
    <w:p w14:paraId="60736329" w14:textId="77777777" w:rsidR="00F65650" w:rsidRDefault="00F65650" w:rsidP="00F65650">
      <w:pPr>
        <w:rPr>
          <w:rFonts w:eastAsia="Calibri"/>
        </w:rPr>
      </w:pPr>
      <w:r w:rsidRPr="00D822E8">
        <w:rPr>
          <w:rFonts w:eastAsia="Calibri"/>
        </w:rPr>
        <w:t xml:space="preserve">For more information, see </w:t>
      </w:r>
      <w:r>
        <w:rPr>
          <w:rFonts w:eastAsia="Calibri"/>
        </w:rPr>
        <w:t xml:space="preserve">the latest version of Revenue Circular </w:t>
      </w:r>
      <w:r w:rsidRPr="00D822E8">
        <w:rPr>
          <w:rFonts w:eastAsia="Calibri"/>
          <w:i/>
        </w:rPr>
        <w:t>Barrier Free Model –Transactions</w:t>
      </w:r>
      <w:r>
        <w:rPr>
          <w:rFonts w:eastAsia="Calibri"/>
          <w:i/>
        </w:rPr>
        <w:t xml:space="preserve"> before 18 September 2017</w:t>
      </w:r>
      <w:r>
        <w:rPr>
          <w:rFonts w:eastAsia="Calibri"/>
        </w:rPr>
        <w:t xml:space="preserve"> (</w:t>
      </w:r>
      <w:r w:rsidRPr="00D822E8">
        <w:rPr>
          <w:rFonts w:eastAsia="Calibri"/>
        </w:rPr>
        <w:t>DAA019</w:t>
      </w:r>
      <w:r>
        <w:rPr>
          <w:rFonts w:eastAsia="Calibri"/>
        </w:rPr>
        <w:t>)</w:t>
      </w:r>
      <w:r w:rsidRPr="00D822E8">
        <w:rPr>
          <w:rFonts w:eastAsia="Calibri"/>
        </w:rPr>
        <w:t>.</w:t>
      </w:r>
    </w:p>
    <w:p w14:paraId="45B00611" w14:textId="77777777" w:rsidR="00F65650" w:rsidRPr="00D822E8" w:rsidRDefault="00F65650" w:rsidP="00F65650"/>
    <w:p w14:paraId="0CE5A2C7" w14:textId="77777777" w:rsidR="00F65650" w:rsidRPr="00513B5F" w:rsidRDefault="00F65650" w:rsidP="00F65650">
      <w:pPr>
        <w:pStyle w:val="Heading1"/>
        <w:rPr>
          <w:rFonts w:eastAsia="Calibri"/>
        </w:rPr>
      </w:pPr>
      <w:bookmarkStart w:id="18" w:name="_Toc489957741"/>
      <w:bookmarkStart w:id="19" w:name="_Toc492550811"/>
      <w:r>
        <w:rPr>
          <w:rFonts w:eastAsia="Calibri"/>
        </w:rPr>
        <w:t>Other applications outside Barrier Free model</w:t>
      </w:r>
      <w:bookmarkEnd w:id="18"/>
      <w:bookmarkEnd w:id="19"/>
    </w:p>
    <w:p w14:paraId="60A275A5" w14:textId="77777777" w:rsidR="00F65650" w:rsidRDefault="00F65650" w:rsidP="00F65650">
      <w:pPr>
        <w:rPr>
          <w:rFonts w:eastAsia="Calibri"/>
        </w:rPr>
      </w:pPr>
      <w:r w:rsidRPr="00513B5F">
        <w:rPr>
          <w:rFonts w:eastAsia="Calibri"/>
        </w:rPr>
        <w:t>In addition to the above</w:t>
      </w:r>
      <w:r>
        <w:rPr>
          <w:rFonts w:eastAsia="Calibri"/>
        </w:rPr>
        <w:t xml:space="preserve"> dutiable transactions that are outside the Barrier Free model, </w:t>
      </w:r>
      <w:r w:rsidRPr="00513B5F">
        <w:rPr>
          <w:rFonts w:eastAsia="Calibri"/>
        </w:rPr>
        <w:t>SmartForms will also be used for clients to lodge documents and information for a range of other matters</w:t>
      </w:r>
      <w:r>
        <w:rPr>
          <w:rFonts w:eastAsia="Calibri"/>
        </w:rPr>
        <w:t xml:space="preserve"> under the </w:t>
      </w:r>
      <w:r w:rsidRPr="007F0BD4">
        <w:rPr>
          <w:rFonts w:eastAsia="Calibri"/>
          <w:i/>
        </w:rPr>
        <w:t>Duties Act 1999</w:t>
      </w:r>
      <w:r>
        <w:rPr>
          <w:rFonts w:eastAsia="Calibri"/>
        </w:rPr>
        <w:t xml:space="preserve">, </w:t>
      </w:r>
      <w:r>
        <w:rPr>
          <w:rFonts w:eastAsia="Calibri"/>
          <w:i/>
        </w:rPr>
        <w:t xml:space="preserve">First Home Owner Grant Act 2000 </w:t>
      </w:r>
      <w:r>
        <w:rPr>
          <w:rFonts w:eastAsia="Calibri"/>
        </w:rPr>
        <w:t>and</w:t>
      </w:r>
      <w:r>
        <w:rPr>
          <w:rFonts w:eastAsia="Calibri"/>
          <w:i/>
        </w:rPr>
        <w:t xml:space="preserve"> </w:t>
      </w:r>
      <w:r w:rsidRPr="007F0BD4">
        <w:rPr>
          <w:rFonts w:eastAsia="Calibri"/>
        </w:rPr>
        <w:t>TAA</w:t>
      </w:r>
      <w:r w:rsidRPr="00513B5F">
        <w:rPr>
          <w:rFonts w:eastAsia="Calibri"/>
        </w:rPr>
        <w:t xml:space="preserve">. </w:t>
      </w:r>
    </w:p>
    <w:p w14:paraId="53883479" w14:textId="77777777" w:rsidR="00F65650" w:rsidRDefault="00F65650" w:rsidP="00F65650">
      <w:pPr>
        <w:rPr>
          <w:rFonts w:eastAsia="Calibri"/>
        </w:rPr>
      </w:pPr>
    </w:p>
    <w:p w14:paraId="2B51F7A0" w14:textId="77777777" w:rsidR="00F65650" w:rsidRPr="00513B5F" w:rsidRDefault="00F65650" w:rsidP="00F65650">
      <w:pPr>
        <w:rPr>
          <w:rFonts w:eastAsia="Calibri"/>
        </w:rPr>
      </w:pPr>
      <w:r w:rsidRPr="00513B5F">
        <w:rPr>
          <w:rFonts w:eastAsia="Calibri"/>
        </w:rPr>
        <w:t>These will include:</w:t>
      </w:r>
    </w:p>
    <w:p w14:paraId="02957DA9" w14:textId="77777777" w:rsidR="00F65650" w:rsidRPr="00513B5F" w:rsidRDefault="00F65650" w:rsidP="00F65650">
      <w:pPr>
        <w:pStyle w:val="ListParagraph"/>
        <w:widowControl/>
        <w:numPr>
          <w:ilvl w:val="0"/>
          <w:numId w:val="36"/>
        </w:numPr>
        <w:suppressAutoHyphens w:val="0"/>
        <w:autoSpaceDE/>
        <w:autoSpaceDN/>
        <w:ind w:left="1857"/>
        <w:contextualSpacing/>
        <w:jc w:val="left"/>
        <w:textAlignment w:val="auto"/>
        <w:rPr>
          <w:rFonts w:eastAsia="Calibri"/>
        </w:rPr>
      </w:pPr>
      <w:r w:rsidRPr="00513B5F">
        <w:rPr>
          <w:rFonts w:eastAsia="Calibri"/>
        </w:rPr>
        <w:t xml:space="preserve">Application for Charitable Status and Beneficial Organisation Determinations </w:t>
      </w:r>
    </w:p>
    <w:p w14:paraId="3C026947" w14:textId="77777777" w:rsidR="00F65650" w:rsidRPr="00513B5F" w:rsidRDefault="00F65650" w:rsidP="00F65650">
      <w:pPr>
        <w:pStyle w:val="ListParagraph"/>
        <w:widowControl/>
        <w:numPr>
          <w:ilvl w:val="0"/>
          <w:numId w:val="36"/>
        </w:numPr>
        <w:suppressAutoHyphens w:val="0"/>
        <w:autoSpaceDE/>
        <w:autoSpaceDN/>
        <w:ind w:left="1857"/>
        <w:contextualSpacing/>
        <w:jc w:val="left"/>
        <w:textAlignment w:val="auto"/>
        <w:rPr>
          <w:rFonts w:eastAsia="Calibri"/>
        </w:rPr>
      </w:pPr>
      <w:r w:rsidRPr="00513B5F">
        <w:rPr>
          <w:rFonts w:eastAsia="Calibri"/>
        </w:rPr>
        <w:t>Applications for Corporate Reconstruction Exemption</w:t>
      </w:r>
    </w:p>
    <w:p w14:paraId="438D9B11" w14:textId="77777777" w:rsidR="00F65650" w:rsidRDefault="00F65650" w:rsidP="00F65650">
      <w:pPr>
        <w:pStyle w:val="ListParagraph"/>
        <w:widowControl/>
        <w:numPr>
          <w:ilvl w:val="0"/>
          <w:numId w:val="36"/>
        </w:numPr>
        <w:suppressAutoHyphens w:val="0"/>
        <w:autoSpaceDE/>
        <w:autoSpaceDN/>
        <w:ind w:left="1857"/>
        <w:contextualSpacing/>
        <w:jc w:val="left"/>
        <w:textAlignment w:val="auto"/>
        <w:rPr>
          <w:rFonts w:eastAsia="Calibri"/>
        </w:rPr>
      </w:pPr>
      <w:r w:rsidRPr="007F0BD4">
        <w:rPr>
          <w:rFonts w:eastAsia="Calibri"/>
        </w:rPr>
        <w:t>Late applications for home buyer assistance schemes</w:t>
      </w:r>
    </w:p>
    <w:p w14:paraId="2A82B697" w14:textId="77777777" w:rsidR="00F65650" w:rsidRPr="00513B5F" w:rsidRDefault="00F65650" w:rsidP="00F65650">
      <w:pPr>
        <w:pStyle w:val="ListParagraph"/>
        <w:widowControl/>
        <w:numPr>
          <w:ilvl w:val="0"/>
          <w:numId w:val="36"/>
        </w:numPr>
        <w:suppressAutoHyphens w:val="0"/>
        <w:autoSpaceDE/>
        <w:autoSpaceDN/>
        <w:ind w:left="1857"/>
        <w:contextualSpacing/>
        <w:jc w:val="left"/>
        <w:textAlignment w:val="auto"/>
        <w:rPr>
          <w:rFonts w:eastAsia="Calibri"/>
        </w:rPr>
      </w:pPr>
      <w:r w:rsidRPr="007F0BD4">
        <w:rPr>
          <w:rFonts w:eastAsia="Calibri"/>
        </w:rPr>
        <w:t>Requests</w:t>
      </w:r>
      <w:r w:rsidRPr="00513B5F">
        <w:rPr>
          <w:rFonts w:eastAsia="Calibri"/>
        </w:rPr>
        <w:t xml:space="preserve"> for extensions and exemptions relating to home buyer assistance schemes</w:t>
      </w:r>
    </w:p>
    <w:p w14:paraId="73A38968" w14:textId="77777777" w:rsidR="00F65650" w:rsidRPr="00513B5F" w:rsidRDefault="00F65650" w:rsidP="00F65650">
      <w:pPr>
        <w:pStyle w:val="ListParagraph"/>
        <w:widowControl/>
        <w:numPr>
          <w:ilvl w:val="0"/>
          <w:numId w:val="36"/>
        </w:numPr>
        <w:suppressAutoHyphens w:val="0"/>
        <w:autoSpaceDE/>
        <w:autoSpaceDN/>
        <w:ind w:left="1857"/>
        <w:contextualSpacing/>
        <w:jc w:val="left"/>
        <w:textAlignment w:val="auto"/>
        <w:rPr>
          <w:rFonts w:eastAsia="Calibri"/>
        </w:rPr>
      </w:pPr>
      <w:r w:rsidRPr="00513B5F">
        <w:rPr>
          <w:rFonts w:eastAsia="Calibri"/>
        </w:rPr>
        <w:t xml:space="preserve">First Home Owner Grant applications </w:t>
      </w:r>
    </w:p>
    <w:p w14:paraId="63DB50B7" w14:textId="77777777" w:rsidR="00F65650" w:rsidRPr="00513B5F" w:rsidRDefault="00F65650" w:rsidP="00F65650">
      <w:pPr>
        <w:pStyle w:val="ListParagraph"/>
        <w:widowControl/>
        <w:numPr>
          <w:ilvl w:val="0"/>
          <w:numId w:val="36"/>
        </w:numPr>
        <w:suppressAutoHyphens w:val="0"/>
        <w:autoSpaceDE/>
        <w:autoSpaceDN/>
        <w:ind w:left="1857"/>
        <w:contextualSpacing/>
        <w:jc w:val="left"/>
        <w:textAlignment w:val="auto"/>
        <w:rPr>
          <w:rFonts w:eastAsia="Calibri"/>
        </w:rPr>
      </w:pPr>
      <w:r w:rsidRPr="00513B5F">
        <w:rPr>
          <w:rFonts w:eastAsia="Calibri"/>
        </w:rPr>
        <w:t>Motor Vehicle Duty requests for refund or exemption from duty</w:t>
      </w:r>
    </w:p>
    <w:p w14:paraId="6FB47915" w14:textId="77777777" w:rsidR="00F65650" w:rsidRPr="00513B5F" w:rsidRDefault="00F65650" w:rsidP="00F65650">
      <w:pPr>
        <w:pStyle w:val="ListParagraph"/>
        <w:widowControl/>
        <w:numPr>
          <w:ilvl w:val="0"/>
          <w:numId w:val="36"/>
        </w:numPr>
        <w:suppressAutoHyphens w:val="0"/>
        <w:autoSpaceDE/>
        <w:autoSpaceDN/>
        <w:ind w:left="1857"/>
        <w:contextualSpacing/>
        <w:jc w:val="left"/>
        <w:textAlignment w:val="auto"/>
        <w:rPr>
          <w:rFonts w:eastAsia="Calibri"/>
        </w:rPr>
      </w:pPr>
      <w:r>
        <w:rPr>
          <w:rFonts w:eastAsia="Calibri"/>
        </w:rPr>
        <w:t>Loose-Fill Asbestos Insulation Eradication Buyback Concession Scheme applications (including Eligible Impacted Properties)</w:t>
      </w:r>
    </w:p>
    <w:p w14:paraId="79961D73" w14:textId="77777777" w:rsidR="00F65650" w:rsidRDefault="00F65650" w:rsidP="00F65650">
      <w:pPr>
        <w:pStyle w:val="ListParagraph"/>
        <w:widowControl/>
        <w:numPr>
          <w:ilvl w:val="0"/>
          <w:numId w:val="36"/>
        </w:numPr>
        <w:suppressAutoHyphens w:val="0"/>
        <w:autoSpaceDE/>
        <w:autoSpaceDN/>
        <w:ind w:left="1857"/>
        <w:contextualSpacing/>
        <w:jc w:val="left"/>
        <w:textAlignment w:val="auto"/>
        <w:rPr>
          <w:rFonts w:eastAsia="Calibri"/>
        </w:rPr>
      </w:pPr>
      <w:r w:rsidRPr="00513B5F">
        <w:rPr>
          <w:rFonts w:eastAsia="Calibri"/>
        </w:rPr>
        <w:t>Partitions – approvals</w:t>
      </w:r>
    </w:p>
    <w:p w14:paraId="0EF4CAAD" w14:textId="77777777" w:rsidR="00F65650" w:rsidRPr="00513B5F" w:rsidRDefault="00F65650" w:rsidP="00F65650">
      <w:pPr>
        <w:pStyle w:val="ListParagraph"/>
        <w:widowControl/>
        <w:numPr>
          <w:ilvl w:val="0"/>
          <w:numId w:val="36"/>
        </w:numPr>
        <w:suppressAutoHyphens w:val="0"/>
        <w:autoSpaceDE/>
        <w:autoSpaceDN/>
        <w:ind w:left="1857"/>
        <w:contextualSpacing/>
        <w:jc w:val="left"/>
        <w:textAlignment w:val="auto"/>
        <w:rPr>
          <w:rFonts w:eastAsia="Calibri"/>
        </w:rPr>
      </w:pPr>
      <w:r>
        <w:rPr>
          <w:rFonts w:eastAsia="Calibri"/>
        </w:rPr>
        <w:t>Land Rent pre-approval and annual review</w:t>
      </w:r>
    </w:p>
    <w:p w14:paraId="6010191A" w14:textId="77777777" w:rsidR="00F65650" w:rsidRPr="00D822E8" w:rsidRDefault="00F65650" w:rsidP="00F65650">
      <w:pPr>
        <w:rPr>
          <w:rFonts w:eastAsia="Calibri"/>
        </w:rPr>
      </w:pPr>
    </w:p>
    <w:p w14:paraId="09AA16BA" w14:textId="0346F692" w:rsidR="003537C1" w:rsidRDefault="003537C1" w:rsidP="003537C1">
      <w:r>
        <w:t xml:space="preserve">For more information, see the information </w:t>
      </w:r>
      <w:r w:rsidR="00AF786B">
        <w:t>under the ‘Barrier</w:t>
      </w:r>
      <w:r>
        <w:t xml:space="preserve"> Free Conveyancing’ tab on </w:t>
      </w:r>
      <w:hyperlink r:id="rId20" w:history="1">
        <w:r w:rsidRPr="00D83131">
          <w:rPr>
            <w:rStyle w:val="Hyperlink"/>
          </w:rPr>
          <w:t>www.revenue.act.gov.au</w:t>
        </w:r>
      </w:hyperlink>
      <w:r>
        <w:t>.</w:t>
      </w:r>
    </w:p>
    <w:p w14:paraId="62A865CD" w14:textId="77777777" w:rsidR="005A0AB5" w:rsidRPr="005F709B" w:rsidRDefault="005A0AB5" w:rsidP="005A0AB5">
      <w:pPr>
        <w:rPr>
          <w:rFonts w:asciiTheme="minorHAnsi" w:hAnsiTheme="minorHAnsi"/>
        </w:rPr>
      </w:pPr>
    </w:p>
    <w:p w14:paraId="71565CDC" w14:textId="77777777" w:rsidR="005A0AB5" w:rsidRDefault="00C126D6" w:rsidP="005A0AB5">
      <w:r>
        <w:t>Signed</w:t>
      </w:r>
    </w:p>
    <w:p w14:paraId="193559A3" w14:textId="77777777" w:rsidR="005A0AB5" w:rsidRDefault="005A0AB5" w:rsidP="005A0AB5"/>
    <w:p w14:paraId="2EBC837B" w14:textId="77777777" w:rsidR="005A0AB5" w:rsidRPr="00C126D6" w:rsidRDefault="005A0AB5" w:rsidP="005A0AB5">
      <w:r>
        <w:t>Kim Sa</w:t>
      </w:r>
      <w:r w:rsidRPr="00C126D6">
        <w:t>lisbury</w:t>
      </w:r>
    </w:p>
    <w:p w14:paraId="110CC12E" w14:textId="77777777" w:rsidR="005A0AB5" w:rsidRPr="00C126D6" w:rsidRDefault="005A0AB5" w:rsidP="005A0AB5">
      <w:r w:rsidRPr="00C126D6">
        <w:t>Commissioner for ACT Revenue</w:t>
      </w:r>
    </w:p>
    <w:p w14:paraId="315BBDBB" w14:textId="77777777" w:rsidR="005A0AB5" w:rsidRPr="005F709B" w:rsidRDefault="005A0AB5" w:rsidP="00F65650">
      <w:pPr>
        <w:adjustRightInd w:val="0"/>
        <w:rPr>
          <w:rFonts w:cs="Arial"/>
          <w:bCs/>
        </w:rPr>
      </w:pPr>
      <w:r w:rsidRPr="00C126D6">
        <w:t>18 September 2017</w:t>
      </w:r>
    </w:p>
    <w:p w14:paraId="278A755E" w14:textId="77777777" w:rsidR="005A0AB5" w:rsidRPr="005F709B" w:rsidRDefault="005A0AB5" w:rsidP="005A0AB5"/>
    <w:sectPr w:rsidR="005A0AB5" w:rsidRPr="005F709B" w:rsidSect="005473C9">
      <w:pgSz w:w="11910" w:h="16840" w:code="9"/>
      <w:pgMar w:top="-9" w:right="1278" w:bottom="709" w:left="0" w:header="0" w:footer="3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EEC7F" w14:textId="77777777" w:rsidR="00F65650" w:rsidRDefault="00F65650" w:rsidP="005B0828">
      <w:r>
        <w:separator/>
      </w:r>
    </w:p>
  </w:endnote>
  <w:endnote w:type="continuationSeparator" w:id="0">
    <w:p w14:paraId="2F7D9D22" w14:textId="77777777" w:rsidR="00F65650" w:rsidRDefault="00F65650"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5355" w14:textId="77777777" w:rsidR="00B00B86" w:rsidRPr="006B0B4C" w:rsidRDefault="00D12E16" w:rsidP="00D12E16">
    <w:pPr>
      <w:jc w:val="center"/>
    </w:pPr>
    <w:r w:rsidRPr="006B0B4C">
      <w:rPr>
        <w:sz w:val="18"/>
        <w:szCs w:val="18"/>
        <w:lang w:val="it-IT"/>
      </w:rPr>
      <w:t xml:space="preserve">PO Box 293, Civic Square ACT 2608  |  phone: 6207 0028  |  </w:t>
    </w:r>
    <w:hyperlink r:id="rId1" w:history="1">
      <w:r w:rsidRPr="006B0B4C">
        <w:rPr>
          <w:rStyle w:val="Hyperlink"/>
          <w:sz w:val="18"/>
          <w:szCs w:val="18"/>
          <w:lang w:val="it-IT"/>
        </w:rPr>
        <w:t>www.revenue.act.gov.au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EC71C" w14:textId="77777777" w:rsidR="00B00B86" w:rsidRPr="006B0B4C" w:rsidRDefault="00B00B86" w:rsidP="00B00B86">
    <w:pPr>
      <w:jc w:val="center"/>
    </w:pPr>
    <w:r w:rsidRPr="006B0B4C">
      <w:rPr>
        <w:sz w:val="18"/>
        <w:szCs w:val="18"/>
        <w:lang w:val="it-IT"/>
      </w:rPr>
      <w:t xml:space="preserve">PO Box 293, Civic Square ACT 2608  |  phone: 6207 0028  |  </w:t>
    </w:r>
    <w:hyperlink r:id="rId1" w:history="1">
      <w:r w:rsidRPr="006B0B4C">
        <w:rPr>
          <w:rStyle w:val="Hyperlink"/>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9DD9C" w14:textId="77777777" w:rsidR="00F65650" w:rsidRDefault="00F65650" w:rsidP="005B0828">
      <w:r w:rsidRPr="005B0828">
        <w:rPr>
          <w:color w:val="000000"/>
        </w:rPr>
        <w:separator/>
      </w:r>
    </w:p>
  </w:footnote>
  <w:footnote w:type="continuationSeparator" w:id="0">
    <w:p w14:paraId="238AB12D" w14:textId="77777777" w:rsidR="00F65650" w:rsidRDefault="00F65650"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46F3C"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6E83"/>
    <w:multiLevelType w:val="hybridMultilevel"/>
    <w:tmpl w:val="BFDE19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B641F32"/>
    <w:multiLevelType w:val="hybridMultilevel"/>
    <w:tmpl w:val="EC726B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3F04F2"/>
    <w:multiLevelType w:val="hybridMultilevel"/>
    <w:tmpl w:val="B67A0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502737"/>
    <w:multiLevelType w:val="hybridMultilevel"/>
    <w:tmpl w:val="570849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FE7451E"/>
    <w:multiLevelType w:val="hybridMultilevel"/>
    <w:tmpl w:val="BD1EA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E423B8"/>
    <w:multiLevelType w:val="hybridMultilevel"/>
    <w:tmpl w:val="D4B0E344"/>
    <w:lvl w:ilvl="0" w:tplc="0C090001">
      <w:start w:val="1"/>
      <w:numFmt w:val="bullet"/>
      <w:lvlText w:val=""/>
      <w:lvlJc w:val="left"/>
      <w:pPr>
        <w:ind w:left="720" w:hanging="360"/>
      </w:pPr>
      <w:rPr>
        <w:rFonts w:ascii="Symbol" w:hAnsi="Symbol" w:hint="default"/>
      </w:rPr>
    </w:lvl>
    <w:lvl w:ilvl="1" w:tplc="22AA5190">
      <w:numFmt w:val="bullet"/>
      <w:lvlText w:val="-"/>
      <w:lvlJc w:val="left"/>
      <w:pPr>
        <w:ind w:left="1800" w:hanging="72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C1486C"/>
    <w:multiLevelType w:val="multilevel"/>
    <w:tmpl w:val="3132A7CE"/>
    <w:lvl w:ilvl="0">
      <w:start w:val="1"/>
      <w:numFmt w:val="decimal"/>
      <w:lvlText w:val="%1"/>
      <w:lvlJc w:val="left"/>
      <w:pPr>
        <w:ind w:left="480" w:hanging="480"/>
      </w:pPr>
      <w:rPr>
        <w:rFonts w:hint="default"/>
      </w:rPr>
    </w:lvl>
    <w:lvl w:ilvl="1">
      <w:start w:val="1"/>
      <w:numFmt w:val="decimalZero"/>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5B161D5"/>
    <w:multiLevelType w:val="hybridMultilevel"/>
    <w:tmpl w:val="F60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1D7D37"/>
    <w:multiLevelType w:val="hybridMultilevel"/>
    <w:tmpl w:val="FD984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A526424"/>
    <w:multiLevelType w:val="hybridMultilevel"/>
    <w:tmpl w:val="05B07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C80DB9"/>
    <w:multiLevelType w:val="hybridMultilevel"/>
    <w:tmpl w:val="6116E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1876BD"/>
    <w:multiLevelType w:val="hybridMultilevel"/>
    <w:tmpl w:val="00BC7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0753A"/>
    <w:multiLevelType w:val="hybridMultilevel"/>
    <w:tmpl w:val="EEC45A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15:restartNumberingAfterBreak="0">
    <w:nsid w:val="26095278"/>
    <w:multiLevelType w:val="hybridMultilevel"/>
    <w:tmpl w:val="01BCD4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C5B5832"/>
    <w:multiLevelType w:val="hybridMultilevel"/>
    <w:tmpl w:val="6004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1F7C82"/>
    <w:multiLevelType w:val="hybridMultilevel"/>
    <w:tmpl w:val="A6B26532"/>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8" w15:restartNumberingAfterBreak="0">
    <w:nsid w:val="30FA141A"/>
    <w:multiLevelType w:val="hybridMultilevel"/>
    <w:tmpl w:val="D1064E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9"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AF7878"/>
    <w:multiLevelType w:val="hybridMultilevel"/>
    <w:tmpl w:val="E6700C9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1" w15:restartNumberingAfterBreak="0">
    <w:nsid w:val="4402507D"/>
    <w:multiLevelType w:val="hybridMultilevel"/>
    <w:tmpl w:val="4816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3" w15:restartNumberingAfterBreak="0">
    <w:nsid w:val="484D6758"/>
    <w:multiLevelType w:val="hybridMultilevel"/>
    <w:tmpl w:val="AA68D70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4" w15:restartNumberingAfterBreak="0">
    <w:nsid w:val="4F3441E4"/>
    <w:multiLevelType w:val="hybridMultilevel"/>
    <w:tmpl w:val="0E7AA7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265416"/>
    <w:multiLevelType w:val="hybridMultilevel"/>
    <w:tmpl w:val="13AAB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BA04AB"/>
    <w:multiLevelType w:val="hybridMultilevel"/>
    <w:tmpl w:val="9E9652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8" w15:restartNumberingAfterBreak="0">
    <w:nsid w:val="5A0A73B4"/>
    <w:multiLevelType w:val="hybridMultilevel"/>
    <w:tmpl w:val="1468430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9" w15:restartNumberingAfterBreak="0">
    <w:nsid w:val="65B17973"/>
    <w:multiLevelType w:val="hybridMultilevel"/>
    <w:tmpl w:val="23C8F6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6521B50"/>
    <w:multiLevelType w:val="hybridMultilevel"/>
    <w:tmpl w:val="22B830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1" w15:restartNumberingAfterBreak="0">
    <w:nsid w:val="6776648E"/>
    <w:multiLevelType w:val="hybridMultilevel"/>
    <w:tmpl w:val="4E78E2B2"/>
    <w:lvl w:ilvl="0" w:tplc="7E840384">
      <w:start w:val="169"/>
      <w:numFmt w:val="bullet"/>
      <w:lvlText w:val=""/>
      <w:lvlJc w:val="left"/>
      <w:pPr>
        <w:ind w:left="3904" w:hanging="360"/>
      </w:pPr>
      <w:rPr>
        <w:rFonts w:ascii="Symbol" w:eastAsia="Times New Roman" w:hAnsi="Symbol" w:cs="Calibri" w:hint="default"/>
      </w:rPr>
    </w:lvl>
    <w:lvl w:ilvl="1" w:tplc="0C090003" w:tentative="1">
      <w:start w:val="1"/>
      <w:numFmt w:val="bullet"/>
      <w:lvlText w:val="o"/>
      <w:lvlJc w:val="left"/>
      <w:pPr>
        <w:ind w:left="4624" w:hanging="360"/>
      </w:pPr>
      <w:rPr>
        <w:rFonts w:ascii="Courier New" w:hAnsi="Courier New" w:cs="Courier New" w:hint="default"/>
      </w:rPr>
    </w:lvl>
    <w:lvl w:ilvl="2" w:tplc="0C090005" w:tentative="1">
      <w:start w:val="1"/>
      <w:numFmt w:val="bullet"/>
      <w:lvlText w:val=""/>
      <w:lvlJc w:val="left"/>
      <w:pPr>
        <w:ind w:left="5344" w:hanging="360"/>
      </w:pPr>
      <w:rPr>
        <w:rFonts w:ascii="Wingdings" w:hAnsi="Wingdings" w:hint="default"/>
      </w:rPr>
    </w:lvl>
    <w:lvl w:ilvl="3" w:tplc="0C090001" w:tentative="1">
      <w:start w:val="1"/>
      <w:numFmt w:val="bullet"/>
      <w:lvlText w:val=""/>
      <w:lvlJc w:val="left"/>
      <w:pPr>
        <w:ind w:left="6064" w:hanging="360"/>
      </w:pPr>
      <w:rPr>
        <w:rFonts w:ascii="Symbol" w:hAnsi="Symbol" w:hint="default"/>
      </w:rPr>
    </w:lvl>
    <w:lvl w:ilvl="4" w:tplc="0C090003" w:tentative="1">
      <w:start w:val="1"/>
      <w:numFmt w:val="bullet"/>
      <w:lvlText w:val="o"/>
      <w:lvlJc w:val="left"/>
      <w:pPr>
        <w:ind w:left="6784" w:hanging="360"/>
      </w:pPr>
      <w:rPr>
        <w:rFonts w:ascii="Courier New" w:hAnsi="Courier New" w:cs="Courier New" w:hint="default"/>
      </w:rPr>
    </w:lvl>
    <w:lvl w:ilvl="5" w:tplc="0C090005" w:tentative="1">
      <w:start w:val="1"/>
      <w:numFmt w:val="bullet"/>
      <w:lvlText w:val=""/>
      <w:lvlJc w:val="left"/>
      <w:pPr>
        <w:ind w:left="7504" w:hanging="360"/>
      </w:pPr>
      <w:rPr>
        <w:rFonts w:ascii="Wingdings" w:hAnsi="Wingdings" w:hint="default"/>
      </w:rPr>
    </w:lvl>
    <w:lvl w:ilvl="6" w:tplc="0C090001" w:tentative="1">
      <w:start w:val="1"/>
      <w:numFmt w:val="bullet"/>
      <w:lvlText w:val=""/>
      <w:lvlJc w:val="left"/>
      <w:pPr>
        <w:ind w:left="8224" w:hanging="360"/>
      </w:pPr>
      <w:rPr>
        <w:rFonts w:ascii="Symbol" w:hAnsi="Symbol" w:hint="default"/>
      </w:rPr>
    </w:lvl>
    <w:lvl w:ilvl="7" w:tplc="0C090003" w:tentative="1">
      <w:start w:val="1"/>
      <w:numFmt w:val="bullet"/>
      <w:lvlText w:val="o"/>
      <w:lvlJc w:val="left"/>
      <w:pPr>
        <w:ind w:left="8944" w:hanging="360"/>
      </w:pPr>
      <w:rPr>
        <w:rFonts w:ascii="Courier New" w:hAnsi="Courier New" w:cs="Courier New" w:hint="default"/>
      </w:rPr>
    </w:lvl>
    <w:lvl w:ilvl="8" w:tplc="0C090005" w:tentative="1">
      <w:start w:val="1"/>
      <w:numFmt w:val="bullet"/>
      <w:lvlText w:val=""/>
      <w:lvlJc w:val="left"/>
      <w:pPr>
        <w:ind w:left="9664" w:hanging="360"/>
      </w:pPr>
      <w:rPr>
        <w:rFonts w:ascii="Wingdings" w:hAnsi="Wingdings" w:hint="default"/>
      </w:rPr>
    </w:lvl>
  </w:abstractNum>
  <w:abstractNum w:abstractNumId="32" w15:restartNumberingAfterBreak="0">
    <w:nsid w:val="6C844E18"/>
    <w:multiLevelType w:val="hybridMultilevel"/>
    <w:tmpl w:val="685AD5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122CF1"/>
    <w:multiLevelType w:val="hybridMultilevel"/>
    <w:tmpl w:val="A2340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1620E7"/>
    <w:multiLevelType w:val="hybridMultilevel"/>
    <w:tmpl w:val="08B669D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5" w15:restartNumberingAfterBreak="0">
    <w:nsid w:val="75760B21"/>
    <w:multiLevelType w:val="hybridMultilevel"/>
    <w:tmpl w:val="69F42D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6" w15:restartNumberingAfterBreak="0">
    <w:nsid w:val="77467A91"/>
    <w:multiLevelType w:val="hybridMultilevel"/>
    <w:tmpl w:val="DD0CB476"/>
    <w:lvl w:ilvl="0" w:tplc="7E840384">
      <w:start w:val="169"/>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854831"/>
    <w:multiLevelType w:val="hybridMultilevel"/>
    <w:tmpl w:val="7F3CC39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8" w15:restartNumberingAfterBreak="0">
    <w:nsid w:val="79E93EB4"/>
    <w:multiLevelType w:val="hybridMultilevel"/>
    <w:tmpl w:val="A20E5F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A0555D6"/>
    <w:multiLevelType w:val="hybridMultilevel"/>
    <w:tmpl w:val="67B86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
  </w:num>
  <w:num w:numId="4">
    <w:abstractNumId w:val="19"/>
  </w:num>
  <w:num w:numId="5">
    <w:abstractNumId w:val="25"/>
  </w:num>
  <w:num w:numId="6">
    <w:abstractNumId w:val="9"/>
  </w:num>
  <w:num w:numId="7">
    <w:abstractNumId w:val="39"/>
  </w:num>
  <w:num w:numId="8">
    <w:abstractNumId w:val="4"/>
  </w:num>
  <w:num w:numId="9">
    <w:abstractNumId w:val="35"/>
  </w:num>
  <w:num w:numId="10">
    <w:abstractNumId w:val="34"/>
  </w:num>
  <w:num w:numId="11">
    <w:abstractNumId w:val="23"/>
  </w:num>
  <w:num w:numId="12">
    <w:abstractNumId w:val="18"/>
  </w:num>
  <w:num w:numId="13">
    <w:abstractNumId w:val="21"/>
  </w:num>
  <w:num w:numId="14">
    <w:abstractNumId w:val="16"/>
  </w:num>
  <w:num w:numId="15">
    <w:abstractNumId w:val="32"/>
  </w:num>
  <w:num w:numId="16">
    <w:abstractNumId w:val="8"/>
  </w:num>
  <w:num w:numId="17">
    <w:abstractNumId w:val="27"/>
  </w:num>
  <w:num w:numId="18">
    <w:abstractNumId w:val="10"/>
  </w:num>
  <w:num w:numId="19">
    <w:abstractNumId w:val="17"/>
  </w:num>
  <w:num w:numId="20">
    <w:abstractNumId w:val="7"/>
  </w:num>
  <w:num w:numId="21">
    <w:abstractNumId w:val="0"/>
  </w:num>
  <w:num w:numId="22">
    <w:abstractNumId w:val="20"/>
  </w:num>
  <w:num w:numId="23">
    <w:abstractNumId w:val="30"/>
  </w:num>
  <w:num w:numId="24">
    <w:abstractNumId w:val="14"/>
  </w:num>
  <w:num w:numId="25">
    <w:abstractNumId w:val="13"/>
  </w:num>
  <w:num w:numId="26">
    <w:abstractNumId w:val="15"/>
  </w:num>
  <w:num w:numId="27">
    <w:abstractNumId w:val="33"/>
  </w:num>
  <w:num w:numId="28">
    <w:abstractNumId w:val="31"/>
  </w:num>
  <w:num w:numId="29">
    <w:abstractNumId w:val="36"/>
  </w:num>
  <w:num w:numId="30">
    <w:abstractNumId w:val="28"/>
  </w:num>
  <w:num w:numId="31">
    <w:abstractNumId w:val="37"/>
  </w:num>
  <w:num w:numId="32">
    <w:abstractNumId w:val="5"/>
  </w:num>
  <w:num w:numId="33">
    <w:abstractNumId w:val="11"/>
  </w:num>
  <w:num w:numId="34">
    <w:abstractNumId w:val="6"/>
  </w:num>
  <w:num w:numId="35">
    <w:abstractNumId w:val="2"/>
  </w:num>
  <w:num w:numId="36">
    <w:abstractNumId w:val="12"/>
  </w:num>
  <w:num w:numId="37">
    <w:abstractNumId w:val="26"/>
  </w:num>
  <w:num w:numId="38">
    <w:abstractNumId w:val="24"/>
  </w:num>
  <w:num w:numId="39">
    <w:abstractNumId w:val="29"/>
  </w:num>
  <w:num w:numId="40">
    <w:abstractNumId w:val="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650"/>
    <w:rsid w:val="00083561"/>
    <w:rsid w:val="000A00F3"/>
    <w:rsid w:val="000D649E"/>
    <w:rsid w:val="000D64C3"/>
    <w:rsid w:val="00190E9D"/>
    <w:rsid w:val="00193116"/>
    <w:rsid w:val="001D2FB9"/>
    <w:rsid w:val="00210C1D"/>
    <w:rsid w:val="002240B1"/>
    <w:rsid w:val="0024065B"/>
    <w:rsid w:val="00244887"/>
    <w:rsid w:val="00244BAC"/>
    <w:rsid w:val="00275FAE"/>
    <w:rsid w:val="002949B0"/>
    <w:rsid w:val="002C7FA8"/>
    <w:rsid w:val="00310E54"/>
    <w:rsid w:val="00352DBF"/>
    <w:rsid w:val="003537C1"/>
    <w:rsid w:val="00391CB7"/>
    <w:rsid w:val="003F1C85"/>
    <w:rsid w:val="005473C9"/>
    <w:rsid w:val="005A0AB5"/>
    <w:rsid w:val="005B0828"/>
    <w:rsid w:val="005B49BD"/>
    <w:rsid w:val="006A0B3E"/>
    <w:rsid w:val="006B0B4C"/>
    <w:rsid w:val="006B0ECA"/>
    <w:rsid w:val="006B2035"/>
    <w:rsid w:val="00712A2B"/>
    <w:rsid w:val="007740D6"/>
    <w:rsid w:val="007E496D"/>
    <w:rsid w:val="00822F9C"/>
    <w:rsid w:val="008A5140"/>
    <w:rsid w:val="008B1CDE"/>
    <w:rsid w:val="00941BBA"/>
    <w:rsid w:val="0096709E"/>
    <w:rsid w:val="00A65505"/>
    <w:rsid w:val="00A812EA"/>
    <w:rsid w:val="00AD4741"/>
    <w:rsid w:val="00AF0FEE"/>
    <w:rsid w:val="00AF7801"/>
    <w:rsid w:val="00AF786B"/>
    <w:rsid w:val="00B00B86"/>
    <w:rsid w:val="00BB7D19"/>
    <w:rsid w:val="00BC3BBE"/>
    <w:rsid w:val="00BE0B6D"/>
    <w:rsid w:val="00BF64D2"/>
    <w:rsid w:val="00C126D6"/>
    <w:rsid w:val="00C24521"/>
    <w:rsid w:val="00C24ABC"/>
    <w:rsid w:val="00C61E06"/>
    <w:rsid w:val="00C77ABA"/>
    <w:rsid w:val="00C82405"/>
    <w:rsid w:val="00C8554F"/>
    <w:rsid w:val="00CC7A27"/>
    <w:rsid w:val="00CD0ACD"/>
    <w:rsid w:val="00CD6913"/>
    <w:rsid w:val="00D04F9D"/>
    <w:rsid w:val="00D12E16"/>
    <w:rsid w:val="00D908F9"/>
    <w:rsid w:val="00D92DDC"/>
    <w:rsid w:val="00DA0B26"/>
    <w:rsid w:val="00DA36DB"/>
    <w:rsid w:val="00DA6ED5"/>
    <w:rsid w:val="00DE16DB"/>
    <w:rsid w:val="00DF24E1"/>
    <w:rsid w:val="00E81FA3"/>
    <w:rsid w:val="00EB74B1"/>
    <w:rsid w:val="00ED69A4"/>
    <w:rsid w:val="00EF71FA"/>
    <w:rsid w:val="00F128F0"/>
    <w:rsid w:val="00F215F7"/>
    <w:rsid w:val="00F239FC"/>
    <w:rsid w:val="00F44A8D"/>
    <w:rsid w:val="00F5360F"/>
    <w:rsid w:val="00F65650"/>
    <w:rsid w:val="00F848F1"/>
    <w:rsid w:val="00FB08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E68CE1"/>
  <w15:docId w15:val="{26D04659-28B7-4ED2-A206-EF54DD7E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26D6"/>
    <w:pPr>
      <w:widowControl w:val="0"/>
      <w:suppressAutoHyphens/>
      <w:autoSpaceDE w:val="0"/>
      <w:spacing w:after="0" w:line="240" w:lineRule="auto"/>
      <w:ind w:left="1134"/>
      <w:jc w:val="both"/>
    </w:pPr>
    <w:rPr>
      <w:rFonts w:cs="Calibri"/>
      <w:sz w:val="24"/>
      <w:szCs w:val="24"/>
    </w:rPr>
  </w:style>
  <w:style w:type="paragraph" w:styleId="Heading1">
    <w:name w:val="heading 1"/>
    <w:basedOn w:val="Normal"/>
    <w:next w:val="Normal"/>
    <w:rsid w:val="00C126D6"/>
    <w:pPr>
      <w:spacing w:before="60" w:after="60"/>
      <w:outlineLvl w:val="0"/>
    </w:pPr>
    <w:rPr>
      <w:b/>
      <w:bCs/>
      <w:sz w:val="28"/>
      <w:szCs w:val="28"/>
    </w:rPr>
  </w:style>
  <w:style w:type="paragraph" w:styleId="Heading2">
    <w:name w:val="heading 2"/>
    <w:basedOn w:val="Normal"/>
    <w:next w:val="Normal"/>
    <w:rsid w:val="00C126D6"/>
    <w:pPr>
      <w:spacing w:before="120" w:after="120"/>
      <w:outlineLvl w:val="1"/>
    </w:pPr>
    <w:rPr>
      <w:b/>
      <w:bCs/>
      <w:kern w:val="32"/>
    </w:rPr>
  </w:style>
  <w:style w:type="paragraph" w:styleId="Heading3">
    <w:name w:val="heading 3"/>
    <w:basedOn w:val="Normal"/>
    <w:next w:val="Normal"/>
    <w:rsid w:val="00C126D6"/>
    <w:pPr>
      <w:spacing w:before="57"/>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semiHidden/>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semiHidden/>
    <w:rsid w:val="005473C9"/>
    <w:rPr>
      <w:rFonts w:cs="Calibri"/>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44BAC"/>
    <w:pPr>
      <w:widowControl w:val="0"/>
      <w:suppressAutoHyphens/>
      <w:autoSpaceDE w:val="0"/>
      <w:autoSpaceDN w:val="0"/>
      <w:textAlignment w:val="baseline"/>
    </w:pPr>
    <w:rPr>
      <w:b/>
      <w:bCs/>
      <w:lang w:val="en-AU" w:eastAsia="en-AU" w:bidi="ar-SA"/>
    </w:rPr>
  </w:style>
  <w:style w:type="character" w:customStyle="1" w:styleId="CommentSubjectChar">
    <w:name w:val="Comment Subject Char"/>
    <w:basedOn w:val="CommentTextChar"/>
    <w:link w:val="CommentSubject"/>
    <w:uiPriority w:val="99"/>
    <w:semiHidden/>
    <w:rsid w:val="00244BAC"/>
    <w:rPr>
      <w:rFonts w:cs="Calibri"/>
      <w:b/>
      <w:bCs/>
      <w:sz w:val="20"/>
      <w:szCs w:val="20"/>
      <w:lang w:val="en-US" w:eastAsia="en-US" w:bidi="en-US"/>
    </w:rPr>
  </w:style>
  <w:style w:type="paragraph" w:styleId="TOCHeading">
    <w:name w:val="TOC Heading"/>
    <w:basedOn w:val="Heading1"/>
    <w:next w:val="Normal"/>
    <w:uiPriority w:val="39"/>
    <w:unhideWhenUsed/>
    <w:qFormat/>
    <w:rsid w:val="00F65650"/>
    <w:pPr>
      <w:keepNext/>
      <w:keepLines/>
      <w:widowControl/>
      <w:suppressAutoHyphens w:val="0"/>
      <w:autoSpaceDE/>
      <w:autoSpaceDN/>
      <w:spacing w:before="240" w:after="0" w:line="259" w:lineRule="auto"/>
      <w:ind w:left="0"/>
      <w:jc w:val="left"/>
      <w:textAlignment w:val="auto"/>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F65650"/>
    <w:pPr>
      <w:tabs>
        <w:tab w:val="right" w:leader="dot" w:pos="10348"/>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evenue.act.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revenue.act.gov.au" TargetMode="External"/><Relationship Id="rId2" Type="http://schemas.openxmlformats.org/officeDocument/2006/relationships/customXml" Target="../customXml/item2.xml"/><Relationship Id="rId16" Type="http://schemas.openxmlformats.org/officeDocument/2006/relationships/hyperlink" Target="http://www.revenue.act.gov.au" TargetMode="External"/><Relationship Id="rId20" Type="http://schemas.openxmlformats.org/officeDocument/2006/relationships/hyperlink" Target="http://www.revenue.ac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ccesscanberra.act.gov.au" TargetMode="External"/><Relationship Id="rId10" Type="http://schemas.openxmlformats.org/officeDocument/2006/relationships/endnotes" Target="endnotes.xml"/><Relationship Id="rId19" Type="http://schemas.openxmlformats.org/officeDocument/2006/relationships/hyperlink" Target="http://www.revenue.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2.xml><?xml version="1.0" encoding="utf-8"?>
<ds:datastoreItem xmlns:ds="http://schemas.openxmlformats.org/officeDocument/2006/customXml" ds:itemID="{514CCC4A-78D5-4031-8852-2531CC075875}">
  <ds:schemaRef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3E5718-91E4-4A20-BE11-B007E869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2834</Words>
  <Characters>15661</Characters>
  <Application>Microsoft Office Word</Application>
  <DocSecurity>0</DocSecurity>
  <Lines>380</Lines>
  <Paragraphs>183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2017-07-05T11:17:00Z</cp:lastPrinted>
  <dcterms:created xsi:type="dcterms:W3CDTF">2017-11-02T03:22:00Z</dcterms:created>
  <dcterms:modified xsi:type="dcterms:W3CDTF">2017-11-02T03:22:00Z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