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C47064" w:rsidP="00770044">
      <w:pPr>
        <w:pStyle w:val="BodyText"/>
        <w:overflowPunct w:val="0"/>
        <w:ind w:left="-284"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8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5"/>
      </w:tblGrid>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EB5FB9">
              <w:rPr>
                <w:b/>
                <w:lang w:eastAsia="en-US"/>
              </w:rPr>
              <w:t>DAA00</w:t>
            </w:r>
            <w:r w:rsidR="006104BB">
              <w:rPr>
                <w:b/>
                <w:lang w:eastAsia="en-US"/>
              </w:rPr>
              <w:t>4.17</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6104BB" w:rsidP="00AD4741">
            <w:pPr>
              <w:jc w:val="both"/>
              <w:rPr>
                <w:lang w:eastAsia="en-US"/>
              </w:rPr>
            </w:pPr>
            <w:r>
              <w:rPr>
                <w:lang w:eastAsia="en-US"/>
              </w:rPr>
              <w:t>Home Buyer Concession Scheme</w:t>
            </w:r>
            <w:r w:rsidR="00E81FA3">
              <w:rPr>
                <w:lang w:eastAsia="en-US"/>
              </w:rPr>
              <w:t xml:space="preserve"> – </w:t>
            </w:r>
            <w:r w:rsidR="00E81FA3" w:rsidRPr="00E81FA3">
              <w:rPr>
                <w:i/>
                <w:lang w:eastAsia="en-US"/>
              </w:rPr>
              <w:t>Duties Act 1999</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104BB">
            <w:pPr>
              <w:jc w:val="both"/>
              <w:rPr>
                <w:lang w:eastAsia="en-US"/>
              </w:rPr>
            </w:pPr>
            <w:r>
              <w:rPr>
                <w:lang w:eastAsia="en-US"/>
              </w:rPr>
              <w:t xml:space="preserve">Issue Date: </w:t>
            </w:r>
            <w:r w:rsidR="006104BB">
              <w:rPr>
                <w:lang w:eastAsia="en-US"/>
              </w:rPr>
              <w:t>8 June</w:t>
            </w:r>
            <w:r w:rsidR="00EB5FB9">
              <w:rPr>
                <w:lang w:eastAsia="en-US"/>
              </w:rPr>
              <w:t xml:space="preserve"> 2016</w:t>
            </w:r>
          </w:p>
        </w:tc>
      </w:tr>
      <w:tr w:rsidR="00F44A8D"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6104BB">
            <w:pPr>
              <w:jc w:val="both"/>
            </w:pPr>
            <w:r>
              <w:t>Status: Current</w:t>
            </w:r>
            <w:r w:rsidR="00BB7D19">
              <w:t xml:space="preserve"> – Effective </w:t>
            </w:r>
            <w:r w:rsidR="006104BB">
              <w:t>8 June 2016</w:t>
            </w:r>
          </w:p>
        </w:tc>
      </w:tr>
      <w:tr w:rsidR="00310E54" w:rsidRPr="00404085" w:rsidTr="00EB5FB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6104BB">
            <w:pPr>
              <w:jc w:val="both"/>
            </w:pPr>
            <w:r>
              <w:t xml:space="preserve">Previous Circular: </w:t>
            </w:r>
            <w:r w:rsidR="00EB5FB9">
              <w:t>DAA00</w:t>
            </w:r>
            <w:r w:rsidR="006104BB">
              <w:t>4.16</w:t>
            </w:r>
          </w:p>
        </w:tc>
      </w:tr>
    </w:tbl>
    <w:p w:rsidR="00F44A8D" w:rsidRPr="00AD4741" w:rsidRDefault="00BB7D19" w:rsidP="00E81FA3">
      <w:pPr>
        <w:pStyle w:val="Heading1"/>
        <w:spacing w:before="60" w:after="60" w:line="240" w:lineRule="auto"/>
        <w:ind w:left="1701" w:hanging="567"/>
        <w:jc w:val="both"/>
      </w:pPr>
      <w:r>
        <w:t>Preamble</w:t>
      </w:r>
    </w:p>
    <w:p w:rsidR="006104BB" w:rsidRPr="004764AE" w:rsidRDefault="006104BB" w:rsidP="006104BB">
      <w:pPr>
        <w:widowControl/>
        <w:numPr>
          <w:ilvl w:val="0"/>
          <w:numId w:val="13"/>
        </w:numPr>
        <w:tabs>
          <w:tab w:val="clear" w:pos="1080"/>
          <w:tab w:val="num" w:pos="0"/>
        </w:tabs>
        <w:suppressAutoHyphens w:val="0"/>
        <w:autoSpaceDE/>
        <w:autoSpaceDN/>
        <w:spacing w:after="60"/>
        <w:ind w:left="1701" w:right="-187" w:hanging="567"/>
        <w:jc w:val="both"/>
        <w:textAlignment w:val="auto"/>
        <w:rPr>
          <w:rFonts w:asciiTheme="minorHAnsi" w:hAnsiTheme="minorHAnsi" w:cs="Arial"/>
        </w:rPr>
      </w:pPr>
      <w:r w:rsidRPr="004764AE">
        <w:rPr>
          <w:rFonts w:asciiTheme="minorHAnsi" w:hAnsiTheme="minorHAnsi" w:cs="Arial"/>
        </w:rPr>
        <w:t>The purpose of this circular is to provide guidance to potential applicants of the Home Buyer Concession Scheme (the Scheme).</w:t>
      </w:r>
      <w:r>
        <w:rPr>
          <w:rFonts w:asciiTheme="minorHAnsi" w:hAnsiTheme="minorHAnsi" w:cs="Arial"/>
        </w:rPr>
        <w:t xml:space="preserve"> Applicants must meet the eligibility criteria set by the disallowable instrument applicable at the date of the eligible transaction. </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1701" w:right="-188" w:hanging="567"/>
        <w:jc w:val="both"/>
        <w:textAlignment w:val="auto"/>
        <w:rPr>
          <w:rFonts w:asciiTheme="minorHAnsi" w:hAnsiTheme="minorHAnsi" w:cs="Arial"/>
        </w:rPr>
      </w:pPr>
      <w:r w:rsidRPr="0055051A">
        <w:rPr>
          <w:rFonts w:asciiTheme="minorHAnsi" w:hAnsiTheme="minorHAnsi" w:cs="Arial"/>
        </w:rPr>
        <w:t xml:space="preserve">The application period under the Scheme is aligned with the date on which duty for a transaction becomes payable under the </w:t>
      </w:r>
      <w:r w:rsidRPr="0055051A">
        <w:rPr>
          <w:rFonts w:asciiTheme="minorHAnsi" w:hAnsiTheme="minorHAnsi" w:cs="Arial"/>
          <w:i/>
        </w:rPr>
        <w:t xml:space="preserve">Duties Act 1999. </w:t>
      </w:r>
      <w:r w:rsidRPr="0055051A">
        <w:rPr>
          <w:rFonts w:asciiTheme="minorHAnsi" w:hAnsiTheme="minorHAnsi" w:cs="Arial"/>
          <w:noProof/>
        </w:rPr>
        <w:t xml:space="preserve"> That is, within:  </w:t>
      </w:r>
    </w:p>
    <w:p w:rsidR="006104BB" w:rsidRPr="0055051A" w:rsidRDefault="006104BB" w:rsidP="006104BB">
      <w:pPr>
        <w:tabs>
          <w:tab w:val="left" w:pos="2410"/>
        </w:tabs>
        <w:adjustRightInd w:val="0"/>
        <w:spacing w:before="60" w:after="60"/>
        <w:ind w:left="2410" w:right="-187" w:hanging="567"/>
        <w:jc w:val="both"/>
        <w:rPr>
          <w:rFonts w:asciiTheme="minorHAnsi" w:hAnsiTheme="minorHAnsi" w:cs="Arial"/>
        </w:rPr>
      </w:pPr>
      <w:r w:rsidRPr="0055051A">
        <w:rPr>
          <w:rFonts w:asciiTheme="minorHAnsi" w:hAnsiTheme="minorHAnsi" w:cs="Arial"/>
        </w:rPr>
        <w:t>(a)</w:t>
      </w:r>
      <w:r w:rsidRPr="0055051A">
        <w:rPr>
          <w:rFonts w:asciiTheme="minorHAnsi" w:hAnsiTheme="minorHAnsi" w:cs="Arial"/>
        </w:rPr>
        <w:tab/>
        <w:t>90 days of the transaction date, which is the date of the grant, tran</w:t>
      </w:r>
      <w:r w:rsidRPr="0055051A">
        <w:rPr>
          <w:rFonts w:asciiTheme="minorHAnsi" w:hAnsiTheme="minorHAnsi" w:cs="Arial"/>
          <w:noProof/>
        </w:rPr>
        <w:t>sfer, or agreement for transfer (whichever is first); or</w:t>
      </w:r>
    </w:p>
    <w:p w:rsidR="006104BB" w:rsidRPr="0055051A" w:rsidRDefault="006104BB" w:rsidP="006104BB">
      <w:pPr>
        <w:tabs>
          <w:tab w:val="left" w:pos="2410"/>
        </w:tabs>
        <w:adjustRightInd w:val="0"/>
        <w:spacing w:before="60" w:after="60"/>
        <w:ind w:left="2410" w:right="-187" w:hanging="567"/>
        <w:jc w:val="both"/>
        <w:rPr>
          <w:rFonts w:asciiTheme="minorHAnsi" w:hAnsiTheme="minorHAnsi" w:cs="Arial"/>
        </w:rPr>
      </w:pPr>
      <w:r w:rsidRPr="0055051A">
        <w:rPr>
          <w:rFonts w:asciiTheme="minorHAnsi" w:hAnsiTheme="minorHAnsi" w:cs="Arial"/>
        </w:rPr>
        <w:t>(b)</w:t>
      </w:r>
      <w:r w:rsidRPr="0055051A">
        <w:rPr>
          <w:rFonts w:asciiTheme="minorHAnsi" w:hAnsiTheme="minorHAnsi" w:cs="Arial"/>
        </w:rPr>
        <w:tab/>
        <w:t>14 days of the occurrence of one of the events mentioned in Section 16A (1</w:t>
      </w:r>
      <w:r w:rsidRPr="0055051A">
        <w:rPr>
          <w:rFonts w:asciiTheme="minorHAnsi" w:hAnsiTheme="minorHAnsi" w:cs="Arial"/>
          <w:i/>
        </w:rPr>
        <w:t xml:space="preserve">) </w:t>
      </w:r>
      <w:r w:rsidRPr="0055051A">
        <w:rPr>
          <w:rFonts w:asciiTheme="minorHAnsi" w:hAnsiTheme="minorHAnsi" w:cs="Arial"/>
        </w:rPr>
        <w:t>of the</w:t>
      </w:r>
      <w:r w:rsidRPr="0055051A">
        <w:rPr>
          <w:rFonts w:asciiTheme="minorHAnsi" w:hAnsiTheme="minorHAnsi" w:cs="Arial"/>
          <w:i/>
        </w:rPr>
        <w:t xml:space="preserve"> Duties A</w:t>
      </w:r>
      <w:r w:rsidRPr="0055051A">
        <w:rPr>
          <w:rFonts w:asciiTheme="minorHAnsi" w:hAnsiTheme="minorHAnsi" w:cs="Arial"/>
          <w:i/>
          <w:noProof/>
        </w:rPr>
        <w:t>ct 1999</w:t>
      </w:r>
      <w:r w:rsidRPr="0055051A">
        <w:rPr>
          <w:rFonts w:asciiTheme="minorHAnsi" w:hAnsiTheme="minorHAnsi" w:cs="Arial"/>
          <w:noProof/>
        </w:rPr>
        <w:t xml:space="preserve"> for an Off t</w:t>
      </w:r>
      <w:r w:rsidRPr="0055051A">
        <w:rPr>
          <w:rFonts w:asciiTheme="minorHAnsi" w:hAnsiTheme="minorHAnsi" w:cs="Arial"/>
        </w:rPr>
        <w:t>he Plan Agreement.</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1701" w:right="-188" w:hanging="567"/>
        <w:jc w:val="both"/>
        <w:textAlignment w:val="auto"/>
        <w:rPr>
          <w:rFonts w:asciiTheme="minorHAnsi" w:hAnsiTheme="minorHAnsi" w:cs="Arial"/>
        </w:rPr>
      </w:pPr>
      <w:r w:rsidRPr="0055051A">
        <w:rPr>
          <w:rFonts w:asciiTheme="minorHAnsi" w:hAnsiTheme="minorHAnsi" w:cs="Arial"/>
        </w:rPr>
        <w:t xml:space="preserve">To enable applications to be processed efficiently, </w:t>
      </w:r>
      <w:r w:rsidRPr="00DE129B">
        <w:rPr>
          <w:rFonts w:asciiTheme="minorHAnsi" w:hAnsiTheme="minorHAnsi" w:cs="Arial"/>
        </w:rPr>
        <w:t xml:space="preserve">all </w:t>
      </w:r>
      <w:r w:rsidRPr="0055051A">
        <w:rPr>
          <w:rFonts w:asciiTheme="minorHAnsi" w:hAnsiTheme="minorHAnsi" w:cs="Arial"/>
        </w:rPr>
        <w:t xml:space="preserve">relevant documents must be lodged with the ACT Revenue Office at least ten working days before approval is required.  </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1701" w:right="-188" w:hanging="567"/>
        <w:jc w:val="both"/>
        <w:textAlignment w:val="auto"/>
        <w:rPr>
          <w:rFonts w:asciiTheme="minorHAnsi" w:hAnsiTheme="minorHAnsi" w:cs="Arial"/>
        </w:rPr>
      </w:pPr>
      <w:r w:rsidRPr="0055051A">
        <w:rPr>
          <w:rFonts w:asciiTheme="minorHAnsi" w:hAnsiTheme="minorHAnsi" w:cs="Arial"/>
        </w:rPr>
        <w:t>All applications accepted over the Counter or mailed to the ACT Revenue Office are subject to application time limits and may be returned if received out of time.</w:t>
      </w:r>
    </w:p>
    <w:p w:rsidR="00E81FA3" w:rsidRDefault="00F44A8D" w:rsidP="00EB5FB9">
      <w:pPr>
        <w:pStyle w:val="Heading1"/>
        <w:spacing w:before="60" w:after="60" w:line="240" w:lineRule="auto"/>
        <w:ind w:left="993" w:firstLine="141"/>
        <w:jc w:val="both"/>
        <w:rPr>
          <w:rFonts w:asciiTheme="minorHAnsi" w:hAnsiTheme="minorHAnsi"/>
        </w:rPr>
      </w:pPr>
      <w:r w:rsidRPr="00AD4741">
        <w:rPr>
          <w:rFonts w:asciiTheme="minorHAnsi" w:hAnsiTheme="minorHAnsi"/>
        </w:rPr>
        <w:t>Circular</w:t>
      </w:r>
    </w:p>
    <w:p w:rsidR="006104BB" w:rsidRPr="0055051A" w:rsidRDefault="006104BB" w:rsidP="006104BB">
      <w:pPr>
        <w:adjustRightInd w:val="0"/>
        <w:spacing w:before="60"/>
        <w:ind w:left="1134"/>
        <w:rPr>
          <w:rFonts w:asciiTheme="minorHAnsi" w:hAnsiTheme="minorHAnsi" w:cs="Arial"/>
          <w:b/>
        </w:rPr>
      </w:pPr>
      <w:r w:rsidRPr="0055051A">
        <w:rPr>
          <w:rFonts w:asciiTheme="minorHAnsi" w:hAnsiTheme="minorHAnsi" w:cs="Arial"/>
          <w:b/>
        </w:rPr>
        <w:t>Eligible Property or Eligible Vacant Block</w:t>
      </w:r>
    </w:p>
    <w:p w:rsidR="006104BB" w:rsidRDefault="006104BB" w:rsidP="006104BB">
      <w:pPr>
        <w:widowControl/>
        <w:numPr>
          <w:ilvl w:val="0"/>
          <w:numId w:val="13"/>
        </w:numPr>
        <w:tabs>
          <w:tab w:val="clear" w:pos="1080"/>
          <w:tab w:val="num" w:pos="0"/>
        </w:tabs>
        <w:suppressAutoHyphens w:val="0"/>
        <w:autoSpaceDE/>
        <w:autoSpaceDN/>
        <w:spacing w:after="60"/>
        <w:ind w:left="1701" w:right="-187" w:hanging="567"/>
        <w:jc w:val="both"/>
        <w:textAlignment w:val="auto"/>
        <w:rPr>
          <w:rFonts w:asciiTheme="minorHAnsi" w:hAnsiTheme="minorHAnsi" w:cs="Arial"/>
        </w:rPr>
      </w:pPr>
      <w:r w:rsidRPr="0055051A">
        <w:rPr>
          <w:rFonts w:asciiTheme="minorHAnsi" w:hAnsiTheme="minorHAnsi" w:cs="Arial"/>
        </w:rPr>
        <w:t xml:space="preserve">The Scheme provides for a concessional rate of duty for the purchase of an eligible property or eligible vacant block by an </w:t>
      </w:r>
      <w:r w:rsidRPr="00DE129B">
        <w:rPr>
          <w:rFonts w:asciiTheme="minorHAnsi" w:hAnsiTheme="minorHAnsi" w:cs="Arial"/>
        </w:rPr>
        <w:t>eligible home buyer</w:t>
      </w:r>
      <w:r w:rsidRPr="0055051A">
        <w:rPr>
          <w:rFonts w:asciiTheme="minorHAnsi" w:hAnsiTheme="minorHAnsi" w:cs="Arial"/>
        </w:rPr>
        <w:t>. The concession only applies to new or substantially renovate</w:t>
      </w:r>
      <w:r>
        <w:rPr>
          <w:rFonts w:asciiTheme="minorHAnsi" w:hAnsiTheme="minorHAnsi" w:cs="Arial"/>
        </w:rPr>
        <w:t>d properties and vacant blocks.</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1701" w:right="-187" w:hanging="567"/>
        <w:jc w:val="both"/>
        <w:textAlignment w:val="auto"/>
        <w:rPr>
          <w:rFonts w:asciiTheme="minorHAnsi" w:hAnsiTheme="minorHAnsi" w:cs="Arial"/>
        </w:rPr>
      </w:pPr>
      <w:r>
        <w:rPr>
          <w:rFonts w:asciiTheme="minorHAnsi" w:hAnsiTheme="minorHAnsi" w:cs="Arial"/>
        </w:rPr>
        <w:t>The Concession ceased for the purchase of an established property on 1 September 2012.</w:t>
      </w:r>
    </w:p>
    <w:p w:rsidR="006104BB" w:rsidRPr="0055051A" w:rsidRDefault="006104BB" w:rsidP="006104BB">
      <w:pPr>
        <w:spacing w:before="120" w:after="120"/>
        <w:ind w:left="1701" w:right="-187" w:hanging="567"/>
        <w:jc w:val="both"/>
        <w:rPr>
          <w:rFonts w:asciiTheme="minorHAnsi" w:hAnsiTheme="minorHAnsi" w:cs="Arial"/>
          <w:b/>
        </w:rPr>
      </w:pPr>
      <w:r w:rsidRPr="0055051A">
        <w:rPr>
          <w:rFonts w:asciiTheme="minorHAnsi" w:hAnsiTheme="minorHAnsi" w:cs="Arial"/>
          <w:b/>
        </w:rPr>
        <w:t>Eligible Home Buyer</w:t>
      </w:r>
    </w:p>
    <w:p w:rsidR="006104BB" w:rsidRDefault="006104BB" w:rsidP="006104BB">
      <w:pPr>
        <w:pStyle w:val="ListParagraph"/>
        <w:widowControl/>
        <w:numPr>
          <w:ilvl w:val="0"/>
          <w:numId w:val="13"/>
        </w:numPr>
        <w:tabs>
          <w:tab w:val="clear" w:pos="1080"/>
        </w:tabs>
        <w:suppressAutoHyphens w:val="0"/>
        <w:autoSpaceDE/>
        <w:autoSpaceDN/>
        <w:spacing w:after="60"/>
        <w:ind w:left="1701" w:right="-187" w:hanging="567"/>
        <w:contextualSpacing/>
        <w:jc w:val="both"/>
        <w:textAlignment w:val="auto"/>
        <w:rPr>
          <w:rFonts w:asciiTheme="minorHAnsi" w:hAnsiTheme="minorHAnsi" w:cs="Arial"/>
        </w:rPr>
      </w:pPr>
      <w:r w:rsidRPr="0055051A">
        <w:rPr>
          <w:rFonts w:asciiTheme="minorHAnsi" w:hAnsiTheme="minorHAnsi" w:cs="Arial"/>
        </w:rPr>
        <w:t xml:space="preserve">All parties (and their domestic partners) who will have an interest in the subject property upon settlement must be listed </w:t>
      </w:r>
      <w:r>
        <w:rPr>
          <w:rFonts w:asciiTheme="minorHAnsi" w:hAnsiTheme="minorHAnsi" w:cs="Arial"/>
        </w:rPr>
        <w:t xml:space="preserve">as </w:t>
      </w:r>
      <w:r w:rsidRPr="0055051A">
        <w:rPr>
          <w:rFonts w:asciiTheme="minorHAnsi" w:hAnsiTheme="minorHAnsi" w:cs="Arial"/>
        </w:rPr>
        <w:t xml:space="preserve">an applicant for the Scheme and must be an eligible home buyer.  </w:t>
      </w:r>
    </w:p>
    <w:p w:rsidR="006104BB" w:rsidRPr="0055051A" w:rsidRDefault="006104BB" w:rsidP="006104BB">
      <w:pPr>
        <w:adjustRightInd w:val="0"/>
        <w:spacing w:before="120" w:after="120"/>
        <w:ind w:left="1701" w:right="-187" w:hanging="567"/>
        <w:jc w:val="both"/>
        <w:rPr>
          <w:rFonts w:asciiTheme="minorHAnsi" w:hAnsiTheme="minorHAnsi" w:cs="Arial"/>
          <w:b/>
          <w:bCs/>
        </w:rPr>
      </w:pPr>
      <w:r w:rsidRPr="0055051A">
        <w:rPr>
          <w:rFonts w:asciiTheme="minorHAnsi" w:hAnsiTheme="minorHAnsi" w:cs="Arial"/>
          <w:b/>
          <w:bCs/>
        </w:rPr>
        <w:t>Thresholds and concessional rates payable</w:t>
      </w:r>
    </w:p>
    <w:p w:rsidR="00F44A8D" w:rsidRDefault="006104BB" w:rsidP="00D914EA">
      <w:pPr>
        <w:widowControl/>
        <w:numPr>
          <w:ilvl w:val="0"/>
          <w:numId w:val="13"/>
        </w:numPr>
        <w:tabs>
          <w:tab w:val="clear" w:pos="1080"/>
          <w:tab w:val="num" w:pos="0"/>
        </w:tabs>
        <w:suppressAutoHyphens w:val="0"/>
        <w:autoSpaceDE/>
        <w:autoSpaceDN/>
        <w:spacing w:after="60"/>
        <w:ind w:left="1701" w:right="-187" w:hanging="567"/>
        <w:jc w:val="both"/>
        <w:textAlignment w:val="auto"/>
      </w:pPr>
      <w:r w:rsidRPr="00D914EA">
        <w:rPr>
          <w:rFonts w:asciiTheme="minorHAnsi" w:hAnsiTheme="minorHAnsi" w:cs="Arial"/>
        </w:rPr>
        <w:t xml:space="preserve">Property thresholds are determined by the Minister and are regularly updated, usually every 6 months, to reflect changes in the market rates for property.   If sale prices fall, the thresholds may be reduced. </w:t>
      </w:r>
    </w:p>
    <w:p w:rsidR="00F44A8D" w:rsidRDefault="00F44A8D" w:rsidP="00AD4741">
      <w:pPr>
        <w:pStyle w:val="Heading2"/>
        <w:ind w:left="1701"/>
        <w:jc w:val="both"/>
        <w:sectPr w:rsidR="00F44A8D" w:rsidSect="00770044">
          <w:headerReference w:type="default" r:id="rId9"/>
          <w:footerReference w:type="default" r:id="rId10"/>
          <w:footerReference w:type="first" r:id="rId11"/>
          <w:pgSz w:w="11910" w:h="16840" w:code="9"/>
          <w:pgMar w:top="-9" w:right="1137" w:bottom="851" w:left="142" w:header="0" w:footer="318" w:gutter="0"/>
          <w:cols w:space="720"/>
          <w:titlePg/>
          <w:docGrid w:linePitch="326"/>
        </w:sectPr>
      </w:pPr>
    </w:p>
    <w:p w:rsidR="006104BB" w:rsidRPr="00DE129B" w:rsidRDefault="006104BB" w:rsidP="006104BB">
      <w:pPr>
        <w:widowControl/>
        <w:numPr>
          <w:ilvl w:val="0"/>
          <w:numId w:val="13"/>
        </w:numPr>
        <w:tabs>
          <w:tab w:val="clear" w:pos="1080"/>
          <w:tab w:val="num" w:pos="0"/>
        </w:tabs>
        <w:suppressAutoHyphens w:val="0"/>
        <w:autoSpaceDE/>
        <w:autoSpaceDN/>
        <w:spacing w:before="60" w:after="60"/>
        <w:ind w:left="567" w:right="-188" w:hanging="567"/>
        <w:jc w:val="both"/>
        <w:textAlignment w:val="auto"/>
        <w:rPr>
          <w:rFonts w:asciiTheme="minorHAnsi" w:hAnsiTheme="minorHAnsi" w:cs="Arial"/>
        </w:rPr>
      </w:pPr>
      <w:r w:rsidRPr="0055051A">
        <w:rPr>
          <w:rFonts w:asciiTheme="minorHAnsi" w:hAnsiTheme="minorHAnsi" w:cs="Arial"/>
        </w:rPr>
        <w:lastRenderedPageBreak/>
        <w:t>Information on how thresholds are determined can be obtained by con</w:t>
      </w:r>
      <w:r>
        <w:rPr>
          <w:rFonts w:asciiTheme="minorHAnsi" w:hAnsiTheme="minorHAnsi" w:cs="Arial"/>
        </w:rPr>
        <w:t xml:space="preserve">tacting the ACT Revenue Office or visit </w:t>
      </w:r>
      <w:hyperlink r:id="rId12" w:history="1">
        <w:r w:rsidRPr="00DE129B">
          <w:rPr>
            <w:rStyle w:val="Hyperlink"/>
            <w:rFonts w:asciiTheme="minorHAnsi" w:hAnsiTheme="minorHAnsi" w:cs="Arial"/>
          </w:rPr>
          <w:t>http://www.revenue.act.gov.au</w:t>
        </w:r>
      </w:hyperlink>
      <w:r>
        <w:rPr>
          <w:rFonts w:asciiTheme="minorHAnsi" w:hAnsiTheme="minorHAnsi" w:cs="Arial"/>
        </w:rPr>
        <w:t>.</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567" w:right="-188" w:hanging="567"/>
        <w:jc w:val="both"/>
        <w:textAlignment w:val="auto"/>
        <w:rPr>
          <w:rFonts w:asciiTheme="minorHAnsi" w:hAnsiTheme="minorHAnsi" w:cs="Arial"/>
        </w:rPr>
      </w:pPr>
      <w:r w:rsidRPr="0055051A">
        <w:rPr>
          <w:rFonts w:asciiTheme="minorHAnsi" w:hAnsiTheme="minorHAnsi" w:cs="Arial"/>
        </w:rPr>
        <w:t xml:space="preserve">If an application applies to a share in the property being purchased, the concession is proportional to that share. However, the dutiable value of the whole property must be less than the upper threshold.  </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567" w:right="-188" w:hanging="567"/>
        <w:jc w:val="both"/>
        <w:textAlignment w:val="auto"/>
        <w:rPr>
          <w:rFonts w:asciiTheme="minorHAnsi" w:hAnsiTheme="minorHAnsi" w:cs="Arial"/>
        </w:rPr>
      </w:pPr>
      <w:r w:rsidRPr="0055051A">
        <w:rPr>
          <w:rFonts w:asciiTheme="minorHAnsi" w:hAnsiTheme="minorHAnsi" w:cs="Arial"/>
        </w:rPr>
        <w:t xml:space="preserve">In addition, a person acquiring a share of a property is not eligible unless all persons acquiring shares in the property meet </w:t>
      </w:r>
      <w:r>
        <w:rPr>
          <w:rFonts w:asciiTheme="minorHAnsi" w:hAnsiTheme="minorHAnsi" w:cs="Arial"/>
        </w:rPr>
        <w:t xml:space="preserve">the criteria under the Scheme. </w:t>
      </w:r>
    </w:p>
    <w:p w:rsidR="006104BB" w:rsidRPr="0055051A" w:rsidRDefault="006104BB" w:rsidP="006104BB">
      <w:pPr>
        <w:widowControl/>
        <w:numPr>
          <w:ilvl w:val="0"/>
          <w:numId w:val="13"/>
        </w:numPr>
        <w:tabs>
          <w:tab w:val="clear" w:pos="1080"/>
          <w:tab w:val="num" w:pos="0"/>
        </w:tabs>
        <w:suppressAutoHyphens w:val="0"/>
        <w:autoSpaceDE/>
        <w:autoSpaceDN/>
        <w:spacing w:before="60" w:after="60"/>
        <w:ind w:left="567" w:right="-188" w:hanging="567"/>
        <w:jc w:val="both"/>
        <w:textAlignment w:val="auto"/>
        <w:rPr>
          <w:rFonts w:asciiTheme="minorHAnsi" w:hAnsiTheme="minorHAnsi" w:cs="Arial"/>
        </w:rPr>
      </w:pPr>
      <w:r w:rsidRPr="0055051A">
        <w:rPr>
          <w:rFonts w:asciiTheme="minorHAnsi" w:hAnsiTheme="minorHAnsi" w:cs="Arial"/>
        </w:rPr>
        <w:t xml:space="preserve">A person can be eligible for a part concession if they are acquiring an additional share in an eligible property.  In all circumstances, the property must be an eligible property. </w:t>
      </w:r>
    </w:p>
    <w:p w:rsidR="006104BB" w:rsidRPr="0055051A" w:rsidRDefault="006104BB" w:rsidP="006104BB">
      <w:pPr>
        <w:spacing w:before="120" w:after="120"/>
        <w:ind w:left="567" w:hanging="567"/>
        <w:rPr>
          <w:rFonts w:asciiTheme="minorHAnsi" w:hAnsiTheme="minorHAnsi" w:cs="Arial"/>
          <w:b/>
        </w:rPr>
      </w:pPr>
      <w:r w:rsidRPr="0055051A">
        <w:rPr>
          <w:rFonts w:asciiTheme="minorHAnsi" w:hAnsiTheme="minorHAnsi" w:cs="Arial"/>
          <w:b/>
        </w:rPr>
        <w:t>Income test</w:t>
      </w:r>
    </w:p>
    <w:p w:rsidR="006104BB" w:rsidRPr="0055051A" w:rsidRDefault="006104BB" w:rsidP="006104BB">
      <w:pPr>
        <w:spacing w:after="60"/>
        <w:ind w:left="567" w:hanging="567"/>
        <w:jc w:val="both"/>
        <w:rPr>
          <w:rFonts w:asciiTheme="minorHAnsi" w:hAnsiTheme="minorHAnsi" w:cs="Arial"/>
        </w:rPr>
      </w:pPr>
      <w:r w:rsidRPr="0055051A">
        <w:rPr>
          <w:rFonts w:asciiTheme="minorHAnsi" w:hAnsiTheme="minorHAnsi" w:cs="Arial"/>
        </w:rPr>
        <w:t>1</w:t>
      </w:r>
      <w:r>
        <w:rPr>
          <w:rFonts w:asciiTheme="minorHAnsi" w:hAnsiTheme="minorHAnsi" w:cs="Arial"/>
        </w:rPr>
        <w:t>3</w:t>
      </w:r>
      <w:r w:rsidRPr="0055051A">
        <w:rPr>
          <w:rFonts w:asciiTheme="minorHAnsi" w:hAnsiTheme="minorHAnsi" w:cs="Arial"/>
        </w:rPr>
        <w:t>.</w:t>
      </w:r>
      <w:r w:rsidRPr="0055051A">
        <w:rPr>
          <w:rFonts w:asciiTheme="minorHAnsi" w:hAnsiTheme="minorHAnsi" w:cs="Arial"/>
        </w:rPr>
        <w:tab/>
        <w:t xml:space="preserve">The total income for all persons named as the grantee or transferee and their domestic partners must not exceed the income threshold that corresponds to the number of dependent children that they have. </w:t>
      </w:r>
    </w:p>
    <w:p w:rsidR="006104BB" w:rsidRPr="0055051A" w:rsidRDefault="006104BB" w:rsidP="006104BB">
      <w:pPr>
        <w:tabs>
          <w:tab w:val="num" w:pos="426"/>
        </w:tabs>
        <w:spacing w:before="60" w:after="60"/>
        <w:ind w:left="567" w:hanging="567"/>
        <w:jc w:val="both"/>
        <w:rPr>
          <w:rFonts w:asciiTheme="minorHAnsi" w:hAnsiTheme="minorHAnsi" w:cs="Arial"/>
        </w:rPr>
      </w:pPr>
      <w:r w:rsidRPr="0055051A">
        <w:rPr>
          <w:rFonts w:asciiTheme="minorHAnsi" w:hAnsiTheme="minorHAnsi" w:cs="Arial"/>
        </w:rPr>
        <w:t>1</w:t>
      </w:r>
      <w:r>
        <w:rPr>
          <w:rFonts w:asciiTheme="minorHAnsi" w:hAnsiTheme="minorHAnsi" w:cs="Arial"/>
        </w:rPr>
        <w:t>4</w:t>
      </w:r>
      <w:r w:rsidRPr="0055051A">
        <w:rPr>
          <w:rFonts w:asciiTheme="minorHAnsi" w:hAnsiTheme="minorHAnsi" w:cs="Arial"/>
        </w:rPr>
        <w:t>.</w:t>
      </w:r>
      <w:r w:rsidRPr="0055051A">
        <w:rPr>
          <w:rFonts w:asciiTheme="minorHAnsi" w:hAnsiTheme="minorHAnsi" w:cs="Arial"/>
        </w:rPr>
        <w:tab/>
        <w:t xml:space="preserve">Income is calculated as a combined </w:t>
      </w:r>
      <w:r w:rsidRPr="0055051A">
        <w:rPr>
          <w:rFonts w:asciiTheme="minorHAnsi" w:hAnsiTheme="minorHAnsi" w:cs="Arial"/>
          <w:bCs/>
        </w:rPr>
        <w:t xml:space="preserve">total income </w:t>
      </w:r>
      <w:r w:rsidRPr="0055051A">
        <w:rPr>
          <w:rFonts w:asciiTheme="minorHAnsi" w:hAnsiTheme="minorHAnsi" w:cs="Arial"/>
        </w:rPr>
        <w:t xml:space="preserve">of all persons and their domestic partners during the 1 year period before the date of grant, transfer, or agreement for transfer (whichever is first). </w:t>
      </w:r>
    </w:p>
    <w:p w:rsidR="006104BB" w:rsidRPr="0055051A" w:rsidRDefault="006104BB" w:rsidP="006104BB">
      <w:pPr>
        <w:adjustRightInd w:val="0"/>
        <w:spacing w:before="120" w:after="120"/>
        <w:ind w:left="567" w:hanging="567"/>
        <w:jc w:val="both"/>
        <w:rPr>
          <w:rFonts w:asciiTheme="minorHAnsi" w:hAnsiTheme="minorHAnsi" w:cs="Arial"/>
          <w:b/>
        </w:rPr>
      </w:pPr>
      <w:r w:rsidRPr="0055051A">
        <w:rPr>
          <w:rFonts w:asciiTheme="minorHAnsi" w:hAnsiTheme="minorHAnsi" w:cs="Arial"/>
          <w:b/>
        </w:rPr>
        <w:t>Residency requirements</w:t>
      </w:r>
    </w:p>
    <w:p w:rsidR="006104BB" w:rsidRPr="0055051A" w:rsidRDefault="006104BB" w:rsidP="006104BB">
      <w:pPr>
        <w:pStyle w:val="ListParagraph"/>
        <w:widowControl/>
        <w:numPr>
          <w:ilvl w:val="0"/>
          <w:numId w:val="14"/>
        </w:numPr>
        <w:suppressAutoHyphens w:val="0"/>
        <w:autoSpaceDE/>
        <w:autoSpaceDN/>
        <w:spacing w:after="60"/>
        <w:ind w:left="567" w:hanging="567"/>
        <w:contextualSpacing/>
        <w:jc w:val="both"/>
        <w:textAlignment w:val="auto"/>
        <w:rPr>
          <w:rFonts w:asciiTheme="minorHAnsi" w:hAnsiTheme="minorHAnsi" w:cs="Arial"/>
        </w:rPr>
      </w:pPr>
      <w:r w:rsidRPr="0055051A">
        <w:rPr>
          <w:rFonts w:asciiTheme="minorHAnsi" w:hAnsiTheme="minorHAnsi" w:cs="Arial"/>
        </w:rPr>
        <w:t xml:space="preserve">At least one applicant must: </w:t>
      </w:r>
    </w:p>
    <w:p w:rsidR="006104BB" w:rsidRPr="0055051A" w:rsidRDefault="006104BB" w:rsidP="006104BB">
      <w:pPr>
        <w:adjustRightInd w:val="0"/>
        <w:ind w:left="993" w:hanging="426"/>
        <w:jc w:val="both"/>
        <w:rPr>
          <w:rFonts w:asciiTheme="minorHAnsi" w:hAnsiTheme="minorHAnsi" w:cs="Arial"/>
        </w:rPr>
      </w:pPr>
      <w:r w:rsidRPr="0055051A">
        <w:rPr>
          <w:rFonts w:asciiTheme="minorHAnsi" w:hAnsiTheme="minorHAnsi" w:cs="Arial"/>
        </w:rPr>
        <w:t>(a)</w:t>
      </w:r>
      <w:r w:rsidRPr="0055051A">
        <w:rPr>
          <w:rFonts w:asciiTheme="minorHAnsi" w:hAnsiTheme="minorHAnsi" w:cs="Arial"/>
        </w:rPr>
        <w:tab/>
      </w:r>
      <w:proofErr w:type="gramStart"/>
      <w:r w:rsidRPr="0055051A">
        <w:rPr>
          <w:rFonts w:asciiTheme="minorHAnsi" w:hAnsiTheme="minorHAnsi" w:cs="Arial"/>
        </w:rPr>
        <w:t>reside</w:t>
      </w:r>
      <w:proofErr w:type="gramEnd"/>
      <w:r w:rsidRPr="0055051A">
        <w:rPr>
          <w:rFonts w:asciiTheme="minorHAnsi" w:hAnsiTheme="minorHAnsi" w:cs="Arial"/>
        </w:rPr>
        <w:t xml:space="preserve"> in the property as their principal place of residence for a continuous period of 1 year; and </w:t>
      </w:r>
    </w:p>
    <w:p w:rsidR="006104BB" w:rsidRPr="0055051A" w:rsidRDefault="006104BB" w:rsidP="006104BB">
      <w:pPr>
        <w:adjustRightInd w:val="0"/>
        <w:ind w:left="993" w:hanging="426"/>
        <w:jc w:val="both"/>
        <w:rPr>
          <w:rFonts w:asciiTheme="minorHAnsi" w:hAnsiTheme="minorHAnsi" w:cs="Arial"/>
        </w:rPr>
      </w:pPr>
      <w:r w:rsidRPr="0055051A">
        <w:rPr>
          <w:rFonts w:asciiTheme="minorHAnsi" w:hAnsiTheme="minorHAnsi" w:cs="Arial"/>
        </w:rPr>
        <w:t>(b)</w:t>
      </w:r>
      <w:r w:rsidRPr="0055051A">
        <w:rPr>
          <w:rFonts w:asciiTheme="minorHAnsi" w:hAnsiTheme="minorHAnsi" w:cs="Arial"/>
        </w:rPr>
        <w:tab/>
      </w:r>
      <w:proofErr w:type="gramStart"/>
      <w:r w:rsidRPr="0055051A">
        <w:rPr>
          <w:rFonts w:asciiTheme="minorHAnsi" w:hAnsiTheme="minorHAnsi" w:cs="Arial"/>
        </w:rPr>
        <w:t>the</w:t>
      </w:r>
      <w:proofErr w:type="gramEnd"/>
      <w:r w:rsidRPr="0055051A">
        <w:rPr>
          <w:rFonts w:asciiTheme="minorHAnsi" w:hAnsiTheme="minorHAnsi" w:cs="Arial"/>
        </w:rPr>
        <w:t xml:space="preserve"> period of residence must start within 1 year of: </w:t>
      </w:r>
    </w:p>
    <w:p w:rsidR="006104BB" w:rsidRPr="0055051A" w:rsidRDefault="006104BB" w:rsidP="006104BB">
      <w:pPr>
        <w:tabs>
          <w:tab w:val="left" w:pos="1701"/>
        </w:tabs>
        <w:adjustRightInd w:val="0"/>
        <w:spacing w:before="60" w:after="60"/>
        <w:ind w:left="1560" w:hanging="567"/>
        <w:jc w:val="both"/>
        <w:rPr>
          <w:rFonts w:asciiTheme="minorHAnsi" w:hAnsiTheme="minorHAnsi" w:cs="Arial"/>
        </w:rPr>
      </w:pPr>
      <w:r w:rsidRPr="0055051A">
        <w:rPr>
          <w:rFonts w:asciiTheme="minorHAnsi" w:hAnsiTheme="minorHAnsi" w:cs="Arial"/>
        </w:rPr>
        <w:t>(</w:t>
      </w:r>
      <w:proofErr w:type="spellStart"/>
      <w:r w:rsidRPr="0055051A">
        <w:rPr>
          <w:rFonts w:asciiTheme="minorHAnsi" w:hAnsiTheme="minorHAnsi" w:cs="Arial"/>
        </w:rPr>
        <w:t>i</w:t>
      </w:r>
      <w:proofErr w:type="spellEnd"/>
      <w:r w:rsidRPr="0055051A">
        <w:rPr>
          <w:rFonts w:asciiTheme="minorHAnsi" w:hAnsiTheme="minorHAnsi" w:cs="Arial"/>
        </w:rPr>
        <w:t>)</w:t>
      </w:r>
      <w:r w:rsidRPr="0055051A">
        <w:rPr>
          <w:rFonts w:asciiTheme="minorHAnsi" w:hAnsiTheme="minorHAnsi" w:cs="Arial"/>
        </w:rPr>
        <w:tab/>
      </w:r>
      <w:proofErr w:type="gramStart"/>
      <w:r w:rsidRPr="0055051A">
        <w:rPr>
          <w:rFonts w:asciiTheme="minorHAnsi" w:hAnsiTheme="minorHAnsi" w:cs="Arial"/>
        </w:rPr>
        <w:t>the</w:t>
      </w:r>
      <w:proofErr w:type="gramEnd"/>
      <w:r w:rsidRPr="0055051A">
        <w:rPr>
          <w:rFonts w:asciiTheme="minorHAnsi" w:hAnsiTheme="minorHAnsi" w:cs="Arial"/>
        </w:rPr>
        <w:t xml:space="preserve"> date of completion of the transfer of an eligible property; or </w:t>
      </w:r>
    </w:p>
    <w:p w:rsidR="006104BB" w:rsidRPr="0055051A" w:rsidRDefault="006104BB" w:rsidP="006104BB">
      <w:pPr>
        <w:tabs>
          <w:tab w:val="left" w:pos="1701"/>
        </w:tabs>
        <w:adjustRightInd w:val="0"/>
        <w:spacing w:before="60" w:after="60"/>
        <w:ind w:left="1560" w:hanging="567"/>
        <w:jc w:val="both"/>
        <w:rPr>
          <w:rFonts w:asciiTheme="minorHAnsi" w:hAnsiTheme="minorHAnsi" w:cs="Arial"/>
        </w:rPr>
      </w:pPr>
      <w:r w:rsidRPr="0055051A">
        <w:rPr>
          <w:rFonts w:asciiTheme="minorHAnsi" w:hAnsiTheme="minorHAnsi" w:cs="Arial"/>
        </w:rPr>
        <w:t>(ii)</w:t>
      </w:r>
      <w:r w:rsidRPr="0055051A">
        <w:rPr>
          <w:rFonts w:asciiTheme="minorHAnsi" w:hAnsiTheme="minorHAnsi" w:cs="Arial"/>
        </w:rPr>
        <w:tab/>
      </w:r>
      <w:proofErr w:type="gramStart"/>
      <w:r w:rsidRPr="0055051A">
        <w:rPr>
          <w:rFonts w:asciiTheme="minorHAnsi" w:hAnsiTheme="minorHAnsi" w:cs="Arial"/>
        </w:rPr>
        <w:t>the</w:t>
      </w:r>
      <w:proofErr w:type="gramEnd"/>
      <w:r w:rsidRPr="0055051A">
        <w:rPr>
          <w:rFonts w:asciiTheme="minorHAnsi" w:hAnsiTheme="minorHAnsi" w:cs="Arial"/>
        </w:rPr>
        <w:t xml:space="preserve"> date of the certificate of occupancy following completion of construction of the residence on the eligible vacant block. </w:t>
      </w:r>
    </w:p>
    <w:p w:rsidR="006104BB" w:rsidRPr="0055051A" w:rsidRDefault="006104BB" w:rsidP="006104BB">
      <w:pPr>
        <w:pStyle w:val="ListParagraph"/>
        <w:widowControl/>
        <w:numPr>
          <w:ilvl w:val="0"/>
          <w:numId w:val="14"/>
        </w:numPr>
        <w:suppressAutoHyphens w:val="0"/>
        <w:autoSpaceDE/>
        <w:autoSpaceDN/>
        <w:spacing w:before="60" w:after="60"/>
        <w:ind w:left="567" w:hanging="567"/>
        <w:contextualSpacing/>
        <w:jc w:val="both"/>
        <w:textAlignment w:val="auto"/>
        <w:rPr>
          <w:rFonts w:asciiTheme="minorHAnsi" w:hAnsiTheme="minorHAnsi" w:cs="Arial"/>
        </w:rPr>
      </w:pPr>
      <w:r w:rsidRPr="0055051A">
        <w:rPr>
          <w:rFonts w:asciiTheme="minorHAnsi" w:hAnsiTheme="minorHAnsi" w:cs="Arial"/>
        </w:rPr>
        <w:t xml:space="preserve">The Commissioner for ACT Revenue (the Commissioner) may extend the time for an applicant to meet the residency requirements, approve a shorter period of residence, or exempt an applicant from the residency requirements. </w:t>
      </w:r>
    </w:p>
    <w:p w:rsidR="006104BB" w:rsidRPr="0055051A" w:rsidRDefault="006104BB" w:rsidP="006104BB">
      <w:pPr>
        <w:widowControl/>
        <w:numPr>
          <w:ilvl w:val="0"/>
          <w:numId w:val="14"/>
        </w:numPr>
        <w:suppressAutoHyphens w:val="0"/>
        <w:autoSpaceDE/>
        <w:autoSpaceDN/>
        <w:spacing w:before="60" w:after="60"/>
        <w:ind w:left="567" w:right="-142" w:hanging="567"/>
        <w:jc w:val="both"/>
        <w:textAlignment w:val="auto"/>
        <w:rPr>
          <w:rFonts w:asciiTheme="minorHAnsi" w:hAnsiTheme="minorHAnsi" w:cs="Arial"/>
        </w:rPr>
      </w:pPr>
      <w:r w:rsidRPr="0055051A">
        <w:rPr>
          <w:rFonts w:asciiTheme="minorHAnsi" w:hAnsiTheme="minorHAnsi" w:cs="Arial"/>
        </w:rPr>
        <w:t>The Commissioner’s discretion in relation to the above paragraph are exercisable only where a written request to exercise the power is lodged with the Commissioner within 18 months of:</w:t>
      </w:r>
    </w:p>
    <w:p w:rsidR="006104BB" w:rsidRPr="0055051A" w:rsidRDefault="006104BB" w:rsidP="006104BB">
      <w:pPr>
        <w:tabs>
          <w:tab w:val="left" w:pos="993"/>
        </w:tabs>
        <w:adjustRightInd w:val="0"/>
        <w:spacing w:before="60" w:after="60"/>
        <w:ind w:left="993" w:hanging="426"/>
        <w:jc w:val="both"/>
        <w:rPr>
          <w:rFonts w:asciiTheme="minorHAnsi" w:hAnsiTheme="minorHAnsi" w:cs="Arial"/>
        </w:rPr>
      </w:pPr>
      <w:r w:rsidRPr="0055051A">
        <w:rPr>
          <w:rFonts w:asciiTheme="minorHAnsi" w:hAnsiTheme="minorHAnsi" w:cs="Arial"/>
        </w:rPr>
        <w:t>(a)</w:t>
      </w:r>
      <w:r w:rsidRPr="0055051A">
        <w:rPr>
          <w:rFonts w:asciiTheme="minorHAnsi" w:hAnsiTheme="minorHAnsi" w:cs="Arial"/>
        </w:rPr>
        <w:tab/>
      </w:r>
      <w:proofErr w:type="gramStart"/>
      <w:r w:rsidRPr="0055051A">
        <w:rPr>
          <w:rFonts w:asciiTheme="minorHAnsi" w:hAnsiTheme="minorHAnsi" w:cs="Arial"/>
        </w:rPr>
        <w:t>in</w:t>
      </w:r>
      <w:proofErr w:type="gramEnd"/>
      <w:r w:rsidRPr="0055051A">
        <w:rPr>
          <w:rFonts w:asciiTheme="minorHAnsi" w:hAnsiTheme="minorHAnsi" w:cs="Arial"/>
        </w:rPr>
        <w:t xml:space="preserve"> relation to an eligible property—the date of the completion of the transfer of the subject property; or</w:t>
      </w:r>
    </w:p>
    <w:p w:rsidR="006104BB" w:rsidRPr="0055051A" w:rsidRDefault="006104BB" w:rsidP="006104BB">
      <w:pPr>
        <w:tabs>
          <w:tab w:val="left" w:pos="993"/>
        </w:tabs>
        <w:adjustRightInd w:val="0"/>
        <w:spacing w:before="60" w:after="60"/>
        <w:ind w:left="993" w:hanging="426"/>
        <w:jc w:val="both"/>
        <w:rPr>
          <w:rFonts w:asciiTheme="minorHAnsi" w:hAnsiTheme="minorHAnsi" w:cs="Arial"/>
        </w:rPr>
      </w:pPr>
      <w:r w:rsidRPr="0055051A">
        <w:rPr>
          <w:rFonts w:asciiTheme="minorHAnsi" w:hAnsiTheme="minorHAnsi" w:cs="Arial"/>
        </w:rPr>
        <w:t>(b)</w:t>
      </w:r>
      <w:r w:rsidRPr="0055051A">
        <w:rPr>
          <w:rFonts w:asciiTheme="minorHAnsi" w:hAnsiTheme="minorHAnsi" w:cs="Arial"/>
        </w:rPr>
        <w:tab/>
      </w:r>
      <w:proofErr w:type="gramStart"/>
      <w:r w:rsidRPr="0055051A">
        <w:rPr>
          <w:rFonts w:asciiTheme="minorHAnsi" w:hAnsiTheme="minorHAnsi" w:cs="Arial"/>
        </w:rPr>
        <w:t>in</w:t>
      </w:r>
      <w:proofErr w:type="gramEnd"/>
      <w:r w:rsidRPr="0055051A">
        <w:rPr>
          <w:rFonts w:asciiTheme="minorHAnsi" w:hAnsiTheme="minorHAnsi" w:cs="Arial"/>
        </w:rPr>
        <w:t xml:space="preserve"> relation to an eligible vacant block—the date of the certificate of occupancy following completion of construction of the residence on the subject property.</w:t>
      </w:r>
    </w:p>
    <w:p w:rsidR="006104BB" w:rsidRPr="0055051A" w:rsidRDefault="006104BB" w:rsidP="006104BB">
      <w:pPr>
        <w:widowControl/>
        <w:numPr>
          <w:ilvl w:val="0"/>
          <w:numId w:val="14"/>
        </w:numPr>
        <w:suppressAutoHyphens w:val="0"/>
        <w:autoSpaceDE/>
        <w:autoSpaceDN/>
        <w:spacing w:before="60" w:after="60"/>
        <w:ind w:left="567" w:hanging="567"/>
        <w:jc w:val="both"/>
        <w:textAlignment w:val="auto"/>
        <w:rPr>
          <w:rFonts w:asciiTheme="minorHAnsi" w:hAnsiTheme="minorHAnsi" w:cs="Arial"/>
        </w:rPr>
      </w:pPr>
      <w:r w:rsidRPr="0055051A">
        <w:rPr>
          <w:rFonts w:asciiTheme="minorHAnsi" w:hAnsiTheme="minorHAnsi" w:cs="Arial"/>
        </w:rPr>
        <w:t xml:space="preserve">An application to the Commissioner, as set out above, is limited to circumstances in which the applicant is unable to reside in the property because of an unforeseen or unavoidable event e.g. a health-related issue, or an involuntary job transfer requiring residence outside the ACT.  These circumstances do not include an applicant renting the property for investment purposes. </w:t>
      </w:r>
    </w:p>
    <w:p w:rsidR="006104BB" w:rsidRPr="0055051A" w:rsidRDefault="006104BB" w:rsidP="006104BB">
      <w:pPr>
        <w:widowControl/>
        <w:numPr>
          <w:ilvl w:val="0"/>
          <w:numId w:val="14"/>
        </w:numPr>
        <w:suppressAutoHyphens w:val="0"/>
        <w:autoSpaceDE/>
        <w:autoSpaceDN/>
        <w:spacing w:before="60" w:after="60"/>
        <w:ind w:left="567" w:hanging="567"/>
        <w:jc w:val="both"/>
        <w:textAlignment w:val="auto"/>
        <w:rPr>
          <w:rFonts w:asciiTheme="minorHAnsi" w:hAnsiTheme="minorHAnsi" w:cs="Arial"/>
        </w:rPr>
      </w:pPr>
      <w:r w:rsidRPr="0055051A">
        <w:rPr>
          <w:rFonts w:asciiTheme="minorHAnsi" w:hAnsiTheme="minorHAnsi" w:cs="Arial"/>
        </w:rPr>
        <w:t xml:space="preserve">Applicants who fail to comply with the residency requirements may be required to pay the duty in full under an amended assessment.  Depending on the circumstances, interest and penalty tax may also be applied. </w:t>
      </w:r>
    </w:p>
    <w:p w:rsidR="006104BB" w:rsidRPr="0055051A" w:rsidRDefault="006104BB" w:rsidP="006104BB">
      <w:pPr>
        <w:tabs>
          <w:tab w:val="num" w:pos="709"/>
        </w:tabs>
        <w:adjustRightInd w:val="0"/>
        <w:spacing w:before="120" w:after="120"/>
        <w:ind w:left="567" w:hanging="567"/>
        <w:jc w:val="both"/>
        <w:rPr>
          <w:rFonts w:asciiTheme="minorHAnsi" w:hAnsiTheme="minorHAnsi" w:cs="Arial"/>
          <w:b/>
        </w:rPr>
      </w:pPr>
      <w:r w:rsidRPr="0055051A">
        <w:rPr>
          <w:rFonts w:asciiTheme="minorHAnsi" w:hAnsiTheme="minorHAnsi" w:cs="Arial"/>
          <w:b/>
        </w:rPr>
        <w:t xml:space="preserve">Current and previous property ownership </w:t>
      </w:r>
    </w:p>
    <w:p w:rsidR="006104BB" w:rsidRPr="0055051A" w:rsidRDefault="006104BB" w:rsidP="006104BB">
      <w:pPr>
        <w:widowControl/>
        <w:numPr>
          <w:ilvl w:val="0"/>
          <w:numId w:val="14"/>
        </w:numPr>
        <w:suppressAutoHyphens w:val="0"/>
        <w:autoSpaceDE/>
        <w:autoSpaceDN/>
        <w:spacing w:after="60"/>
        <w:ind w:left="567" w:hanging="567"/>
        <w:jc w:val="both"/>
        <w:textAlignment w:val="auto"/>
        <w:rPr>
          <w:rFonts w:asciiTheme="minorHAnsi" w:hAnsiTheme="minorHAnsi" w:cs="Arial"/>
        </w:rPr>
      </w:pPr>
      <w:r w:rsidRPr="0055051A">
        <w:rPr>
          <w:rFonts w:asciiTheme="minorHAnsi" w:hAnsiTheme="minorHAnsi" w:cs="Arial"/>
        </w:rPr>
        <w:t xml:space="preserve">The grantee or transferee of the subject property and their domestic partners must not hold or have held, in the two years preceding the date of the grant, transfer, or agreement for transfer, an interest in land anywhere other than the subject property. </w:t>
      </w:r>
    </w:p>
    <w:p w:rsidR="006104BB" w:rsidRPr="0055051A" w:rsidRDefault="006104BB" w:rsidP="006104BB">
      <w:pPr>
        <w:widowControl/>
        <w:numPr>
          <w:ilvl w:val="0"/>
          <w:numId w:val="14"/>
        </w:numPr>
        <w:suppressAutoHyphens w:val="0"/>
        <w:autoSpaceDE/>
        <w:autoSpaceDN/>
        <w:spacing w:before="60" w:after="60"/>
        <w:ind w:left="567" w:hanging="567"/>
        <w:jc w:val="both"/>
        <w:textAlignment w:val="auto"/>
        <w:rPr>
          <w:rFonts w:asciiTheme="minorHAnsi" w:hAnsiTheme="minorHAnsi" w:cs="Arial"/>
        </w:rPr>
      </w:pPr>
      <w:r w:rsidRPr="0055051A">
        <w:rPr>
          <w:rFonts w:asciiTheme="minorHAnsi" w:hAnsiTheme="minorHAnsi" w:cs="Arial"/>
        </w:rPr>
        <w:lastRenderedPageBreak/>
        <w:t>The two-year exclusion period does not apply in the following cases where the grantee or transferee and their domestic partners:</w:t>
      </w:r>
    </w:p>
    <w:p w:rsidR="006104BB" w:rsidRPr="0055051A" w:rsidRDefault="006104BB" w:rsidP="006104BB">
      <w:pPr>
        <w:tabs>
          <w:tab w:val="left" w:pos="993"/>
        </w:tabs>
        <w:adjustRightInd w:val="0"/>
        <w:spacing w:before="60" w:after="60"/>
        <w:ind w:left="993" w:hanging="426"/>
        <w:jc w:val="both"/>
        <w:rPr>
          <w:rFonts w:asciiTheme="minorHAnsi" w:hAnsiTheme="minorHAnsi" w:cs="Arial"/>
        </w:rPr>
      </w:pPr>
      <w:r w:rsidRPr="0055051A">
        <w:rPr>
          <w:rFonts w:asciiTheme="minorHAnsi" w:hAnsiTheme="minorHAnsi" w:cs="Arial"/>
        </w:rPr>
        <w:t>(a)</w:t>
      </w:r>
      <w:r w:rsidRPr="0055051A">
        <w:rPr>
          <w:rFonts w:asciiTheme="minorHAnsi" w:hAnsiTheme="minorHAnsi" w:cs="Arial"/>
        </w:rPr>
        <w:tab/>
      </w:r>
      <w:proofErr w:type="gramStart"/>
      <w:r w:rsidRPr="0055051A">
        <w:rPr>
          <w:rFonts w:asciiTheme="minorHAnsi" w:hAnsiTheme="minorHAnsi" w:cs="Arial"/>
        </w:rPr>
        <w:t>have</w:t>
      </w:r>
      <w:proofErr w:type="gramEnd"/>
      <w:r w:rsidRPr="0055051A">
        <w:rPr>
          <w:rFonts w:asciiTheme="minorHAnsi" w:hAnsiTheme="minorHAnsi" w:cs="Arial"/>
        </w:rPr>
        <w:t xml:space="preserve"> not, either alone or jointly with another person or persons, held a legal or equitable interest in land other than the subject property in the two years, except where a person is required to relinquish an interest in land: </w:t>
      </w:r>
    </w:p>
    <w:p w:rsidR="006104BB" w:rsidRPr="0055051A" w:rsidRDefault="006104BB" w:rsidP="006104BB">
      <w:pPr>
        <w:tabs>
          <w:tab w:val="num" w:pos="709"/>
        </w:tabs>
        <w:adjustRightInd w:val="0"/>
        <w:spacing w:before="60" w:after="60"/>
        <w:ind w:left="1560" w:hanging="567"/>
        <w:jc w:val="both"/>
        <w:rPr>
          <w:rFonts w:asciiTheme="minorHAnsi" w:hAnsiTheme="minorHAnsi" w:cs="Arial"/>
        </w:rPr>
      </w:pPr>
      <w:r w:rsidRPr="0055051A">
        <w:rPr>
          <w:rFonts w:asciiTheme="minorHAnsi" w:hAnsiTheme="minorHAnsi" w:cs="Arial"/>
        </w:rPr>
        <w:t>(</w:t>
      </w:r>
      <w:proofErr w:type="spellStart"/>
      <w:r w:rsidRPr="0055051A">
        <w:rPr>
          <w:rFonts w:asciiTheme="minorHAnsi" w:hAnsiTheme="minorHAnsi" w:cs="Arial"/>
        </w:rPr>
        <w:t>i</w:t>
      </w:r>
      <w:proofErr w:type="spellEnd"/>
      <w:r w:rsidRPr="0055051A">
        <w:rPr>
          <w:rFonts w:asciiTheme="minorHAnsi" w:hAnsiTheme="minorHAnsi" w:cs="Arial"/>
        </w:rPr>
        <w:t>)</w:t>
      </w:r>
      <w:r w:rsidRPr="0055051A">
        <w:rPr>
          <w:rFonts w:asciiTheme="minorHAnsi" w:hAnsiTheme="minorHAnsi" w:cs="Arial"/>
        </w:rPr>
        <w:tab/>
      </w:r>
      <w:proofErr w:type="gramStart"/>
      <w:r w:rsidRPr="0055051A">
        <w:rPr>
          <w:rFonts w:asciiTheme="minorHAnsi" w:hAnsiTheme="minorHAnsi" w:cs="Arial"/>
        </w:rPr>
        <w:t>under</w:t>
      </w:r>
      <w:proofErr w:type="gramEnd"/>
      <w:r w:rsidRPr="0055051A">
        <w:rPr>
          <w:rFonts w:asciiTheme="minorHAnsi" w:hAnsiTheme="minorHAnsi" w:cs="Arial"/>
        </w:rPr>
        <w:t xml:space="preserve"> an order of a court; or </w:t>
      </w:r>
    </w:p>
    <w:p w:rsidR="006104BB" w:rsidRDefault="006104BB" w:rsidP="006104BB">
      <w:pPr>
        <w:tabs>
          <w:tab w:val="num" w:pos="709"/>
        </w:tabs>
        <w:adjustRightInd w:val="0"/>
        <w:spacing w:before="60" w:after="60"/>
        <w:ind w:left="1560" w:hanging="567"/>
        <w:jc w:val="both"/>
        <w:rPr>
          <w:rFonts w:asciiTheme="minorHAnsi" w:hAnsiTheme="minorHAnsi" w:cs="Arial"/>
        </w:rPr>
      </w:pPr>
      <w:r w:rsidRPr="0055051A">
        <w:rPr>
          <w:rFonts w:asciiTheme="minorHAnsi" w:hAnsiTheme="minorHAnsi" w:cs="Arial"/>
        </w:rPr>
        <w:t>(ii)</w:t>
      </w:r>
      <w:r w:rsidRPr="0055051A">
        <w:rPr>
          <w:rFonts w:asciiTheme="minorHAnsi" w:hAnsiTheme="minorHAnsi" w:cs="Arial"/>
        </w:rPr>
        <w:tab/>
      </w:r>
      <w:proofErr w:type="gramStart"/>
      <w:r w:rsidRPr="0055051A">
        <w:rPr>
          <w:rFonts w:asciiTheme="minorHAnsi" w:hAnsiTheme="minorHAnsi" w:cs="Arial"/>
        </w:rPr>
        <w:t>under</w:t>
      </w:r>
      <w:proofErr w:type="gramEnd"/>
      <w:r w:rsidRPr="0055051A">
        <w:rPr>
          <w:rFonts w:asciiTheme="minorHAnsi" w:hAnsiTheme="minorHAnsi" w:cs="Arial"/>
        </w:rPr>
        <w:t xml:space="preserve"> a written financial agreement under section 90B, 90C, 90D, 90UB, 90UC, or 90UD of the </w:t>
      </w:r>
      <w:r w:rsidRPr="0055051A">
        <w:rPr>
          <w:rFonts w:asciiTheme="minorHAnsi" w:hAnsiTheme="minorHAnsi" w:cs="Arial"/>
          <w:i/>
          <w:iCs/>
        </w:rPr>
        <w:t xml:space="preserve">Family Law Act 1975 </w:t>
      </w:r>
      <w:r w:rsidRPr="0055051A">
        <w:rPr>
          <w:rFonts w:asciiTheme="minorHAnsi" w:hAnsiTheme="minorHAnsi" w:cs="Arial"/>
        </w:rPr>
        <w:t>(</w:t>
      </w:r>
      <w:proofErr w:type="spellStart"/>
      <w:r w:rsidRPr="0055051A">
        <w:rPr>
          <w:rFonts w:asciiTheme="minorHAnsi" w:hAnsiTheme="minorHAnsi" w:cs="Arial"/>
        </w:rPr>
        <w:t>Cth</w:t>
      </w:r>
      <w:proofErr w:type="spellEnd"/>
      <w:r w:rsidRPr="0055051A">
        <w:rPr>
          <w:rFonts w:asciiTheme="minorHAnsi" w:hAnsiTheme="minorHAnsi" w:cs="Arial"/>
        </w:rPr>
        <w:t xml:space="preserve">) and the relationship has ended; or  </w:t>
      </w:r>
    </w:p>
    <w:p w:rsidR="006104BB" w:rsidRDefault="006104BB" w:rsidP="006104BB">
      <w:pPr>
        <w:tabs>
          <w:tab w:val="num" w:pos="709"/>
        </w:tabs>
        <w:adjustRightInd w:val="0"/>
        <w:spacing w:before="60" w:after="60"/>
        <w:ind w:left="1560" w:hanging="567"/>
        <w:jc w:val="both"/>
        <w:rPr>
          <w:rFonts w:asciiTheme="minorHAnsi" w:hAnsiTheme="minorHAnsi" w:cs="Arial"/>
        </w:rPr>
      </w:pPr>
      <w:r w:rsidRPr="0055051A">
        <w:rPr>
          <w:rFonts w:asciiTheme="minorHAnsi" w:hAnsiTheme="minorHAnsi" w:cs="Arial"/>
        </w:rPr>
        <w:t>(iii)</w:t>
      </w:r>
      <w:r w:rsidRPr="0055051A">
        <w:rPr>
          <w:rFonts w:asciiTheme="minorHAnsi" w:hAnsiTheme="minorHAnsi" w:cs="Arial"/>
        </w:rPr>
        <w:tab/>
      </w:r>
      <w:proofErr w:type="gramStart"/>
      <w:r w:rsidRPr="0055051A">
        <w:rPr>
          <w:rFonts w:asciiTheme="minorHAnsi" w:hAnsiTheme="minorHAnsi" w:cs="Arial"/>
        </w:rPr>
        <w:t>under</w:t>
      </w:r>
      <w:proofErr w:type="gramEnd"/>
      <w:r w:rsidRPr="0055051A">
        <w:rPr>
          <w:rFonts w:asciiTheme="minorHAnsi" w:hAnsiTheme="minorHAnsi" w:cs="Arial"/>
        </w:rPr>
        <w:t xml:space="preserve"> a written domestic relationship agreement or a termination agreement under the </w:t>
      </w:r>
      <w:r w:rsidRPr="0055051A">
        <w:rPr>
          <w:rFonts w:asciiTheme="minorHAnsi" w:hAnsiTheme="minorHAnsi" w:cs="Arial"/>
          <w:i/>
        </w:rPr>
        <w:t xml:space="preserve">Domestic Relationships Act 1994 </w:t>
      </w:r>
      <w:r>
        <w:rPr>
          <w:rFonts w:asciiTheme="minorHAnsi" w:hAnsiTheme="minorHAnsi" w:cs="Arial"/>
        </w:rPr>
        <w:t>and the relationship has ended; and</w:t>
      </w:r>
    </w:p>
    <w:p w:rsidR="006104BB" w:rsidRPr="0055051A" w:rsidRDefault="006104BB" w:rsidP="006104BB">
      <w:pPr>
        <w:tabs>
          <w:tab w:val="num" w:pos="709"/>
        </w:tabs>
        <w:adjustRightInd w:val="0"/>
        <w:spacing w:before="60" w:after="60"/>
        <w:ind w:left="1560" w:hanging="567"/>
        <w:jc w:val="both"/>
        <w:rPr>
          <w:rFonts w:asciiTheme="minorHAnsi" w:hAnsiTheme="minorHAnsi" w:cs="Arial"/>
        </w:rPr>
      </w:pPr>
      <w:proofErr w:type="gramStart"/>
      <w:r>
        <w:rPr>
          <w:rFonts w:asciiTheme="minorHAnsi" w:hAnsiTheme="minorHAnsi" w:cs="Arial"/>
        </w:rPr>
        <w:t>(iv)</w:t>
      </w:r>
      <w:r>
        <w:rPr>
          <w:rFonts w:asciiTheme="minorHAnsi" w:hAnsiTheme="minorHAnsi" w:cs="Arial"/>
        </w:rPr>
        <w:tab/>
        <w:t>The</w:t>
      </w:r>
      <w:proofErr w:type="gramEnd"/>
      <w:r>
        <w:rPr>
          <w:rFonts w:asciiTheme="minorHAnsi" w:hAnsiTheme="minorHAnsi" w:cs="Arial"/>
        </w:rPr>
        <w:t xml:space="preserve"> order or agreement must be made before the date the duty on the subject property must be paid.</w:t>
      </w:r>
    </w:p>
    <w:p w:rsidR="006104BB" w:rsidRPr="0055051A" w:rsidRDefault="006104BB" w:rsidP="006104BB">
      <w:pPr>
        <w:tabs>
          <w:tab w:val="left" w:pos="993"/>
        </w:tabs>
        <w:adjustRightInd w:val="0"/>
        <w:spacing w:before="60" w:after="60"/>
        <w:ind w:left="993" w:hanging="426"/>
        <w:jc w:val="both"/>
        <w:rPr>
          <w:rFonts w:asciiTheme="minorHAnsi" w:hAnsiTheme="minorHAnsi" w:cs="Arial"/>
        </w:rPr>
      </w:pPr>
      <w:r w:rsidRPr="0055051A">
        <w:rPr>
          <w:rFonts w:asciiTheme="minorHAnsi" w:hAnsiTheme="minorHAnsi" w:cs="Arial"/>
        </w:rPr>
        <w:t>(</w:t>
      </w:r>
      <w:r>
        <w:rPr>
          <w:rFonts w:asciiTheme="minorHAnsi" w:hAnsiTheme="minorHAnsi" w:cs="Arial"/>
        </w:rPr>
        <w:t>b</w:t>
      </w:r>
      <w:r w:rsidRPr="0055051A">
        <w:rPr>
          <w:rFonts w:asciiTheme="minorHAnsi" w:hAnsiTheme="minorHAnsi" w:cs="Arial"/>
        </w:rPr>
        <w:t>)</w:t>
      </w:r>
      <w:r w:rsidRPr="0055051A">
        <w:rPr>
          <w:rFonts w:asciiTheme="minorHAnsi" w:hAnsiTheme="minorHAnsi" w:cs="Arial"/>
        </w:rPr>
        <w:tab/>
      </w:r>
      <w:proofErr w:type="gramStart"/>
      <w:r w:rsidRPr="0055051A">
        <w:rPr>
          <w:rFonts w:asciiTheme="minorHAnsi" w:hAnsiTheme="minorHAnsi" w:cs="Arial"/>
        </w:rPr>
        <w:t>have</w:t>
      </w:r>
      <w:proofErr w:type="gramEnd"/>
      <w:r w:rsidRPr="0055051A">
        <w:rPr>
          <w:rFonts w:asciiTheme="minorHAnsi" w:hAnsiTheme="minorHAnsi" w:cs="Arial"/>
        </w:rPr>
        <w:t xml:space="preserve"> held an interest in land only for the purpose of performing their duties as an executor or trustee of a deceased estate.</w:t>
      </w:r>
    </w:p>
    <w:p w:rsidR="006104BB" w:rsidRPr="0055051A" w:rsidRDefault="006104BB" w:rsidP="006104BB">
      <w:pPr>
        <w:tabs>
          <w:tab w:val="left" w:pos="993"/>
        </w:tabs>
        <w:adjustRightInd w:val="0"/>
        <w:spacing w:before="60" w:after="60"/>
        <w:ind w:left="993" w:hanging="426"/>
        <w:jc w:val="both"/>
        <w:rPr>
          <w:rFonts w:asciiTheme="minorHAnsi" w:hAnsiTheme="minorHAnsi" w:cs="Arial"/>
        </w:rPr>
      </w:pPr>
      <w:r w:rsidRPr="0055051A">
        <w:rPr>
          <w:rFonts w:asciiTheme="minorHAnsi" w:hAnsiTheme="minorHAnsi" w:cs="Arial"/>
        </w:rPr>
        <w:t>(</w:t>
      </w:r>
      <w:r>
        <w:rPr>
          <w:rFonts w:asciiTheme="minorHAnsi" w:hAnsiTheme="minorHAnsi" w:cs="Arial"/>
        </w:rPr>
        <w:t>c</w:t>
      </w:r>
      <w:r w:rsidRPr="0055051A">
        <w:rPr>
          <w:rFonts w:asciiTheme="minorHAnsi" w:hAnsiTheme="minorHAnsi" w:cs="Arial"/>
        </w:rPr>
        <w:t>)</w:t>
      </w:r>
      <w:r w:rsidRPr="0055051A">
        <w:rPr>
          <w:rFonts w:asciiTheme="minorHAnsi" w:hAnsiTheme="minorHAnsi" w:cs="Arial"/>
        </w:rPr>
        <w:tab/>
      </w:r>
      <w:proofErr w:type="gramStart"/>
      <w:r w:rsidRPr="0055051A">
        <w:rPr>
          <w:rFonts w:asciiTheme="minorHAnsi" w:hAnsiTheme="minorHAnsi" w:cs="Arial"/>
        </w:rPr>
        <w:t>entered</w:t>
      </w:r>
      <w:proofErr w:type="gramEnd"/>
      <w:r w:rsidRPr="0055051A">
        <w:rPr>
          <w:rFonts w:asciiTheme="minorHAnsi" w:hAnsiTheme="minorHAnsi" w:cs="Arial"/>
        </w:rPr>
        <w:t xml:space="preserve"> into an agreement to purchase a property within the preceding 2 year period (prior to the grant, transfer, or agreement for transfer of the subject property) and subsequently rescinded this agreement under section 50 or 50A of the Act, or the relevant law of another jurisdiction.</w:t>
      </w:r>
    </w:p>
    <w:p w:rsidR="006104BB" w:rsidRPr="0055051A" w:rsidRDefault="006104BB" w:rsidP="006104BB">
      <w:pPr>
        <w:adjustRightInd w:val="0"/>
        <w:spacing w:before="120" w:after="120"/>
        <w:jc w:val="both"/>
        <w:rPr>
          <w:rFonts w:asciiTheme="minorHAnsi" w:hAnsiTheme="minorHAnsi" w:cs="Arial"/>
          <w:b/>
        </w:rPr>
      </w:pPr>
      <w:r w:rsidRPr="0055051A">
        <w:rPr>
          <w:rFonts w:asciiTheme="minorHAnsi" w:hAnsiTheme="minorHAnsi" w:cs="Arial"/>
          <w:b/>
        </w:rPr>
        <w:t>Legal and equitable ownership</w:t>
      </w:r>
    </w:p>
    <w:p w:rsidR="006104BB" w:rsidRPr="0055051A" w:rsidRDefault="006104BB" w:rsidP="006104BB">
      <w:pPr>
        <w:widowControl/>
        <w:numPr>
          <w:ilvl w:val="0"/>
          <w:numId w:val="14"/>
        </w:numPr>
        <w:suppressAutoHyphens w:val="0"/>
        <w:autoSpaceDE/>
        <w:autoSpaceDN/>
        <w:ind w:left="567" w:hanging="567"/>
        <w:jc w:val="both"/>
        <w:textAlignment w:val="auto"/>
        <w:rPr>
          <w:rFonts w:asciiTheme="minorHAnsi" w:hAnsiTheme="minorHAnsi" w:cs="Arial"/>
        </w:rPr>
      </w:pPr>
      <w:r w:rsidRPr="0055051A">
        <w:rPr>
          <w:rFonts w:asciiTheme="minorHAnsi" w:hAnsiTheme="minorHAnsi" w:cs="Arial"/>
        </w:rPr>
        <w:t xml:space="preserve">Under the transfer or grant, all persons named as the grantee or transferee must together be acquiring both a legal and an equitable interest in the property. </w:t>
      </w:r>
    </w:p>
    <w:p w:rsidR="006104BB" w:rsidRPr="0055051A" w:rsidRDefault="006104BB" w:rsidP="006104BB">
      <w:pPr>
        <w:adjustRightInd w:val="0"/>
        <w:spacing w:before="120" w:after="120"/>
        <w:jc w:val="both"/>
        <w:rPr>
          <w:rFonts w:asciiTheme="minorHAnsi" w:hAnsiTheme="minorHAnsi" w:cs="Arial"/>
          <w:b/>
        </w:rPr>
      </w:pPr>
      <w:r w:rsidRPr="0055051A">
        <w:rPr>
          <w:rFonts w:asciiTheme="minorHAnsi" w:hAnsiTheme="minorHAnsi" w:cs="Arial"/>
          <w:b/>
        </w:rPr>
        <w:t>Age</w:t>
      </w:r>
    </w:p>
    <w:p w:rsidR="006104BB" w:rsidRPr="0055051A" w:rsidRDefault="006104BB" w:rsidP="006104BB">
      <w:pPr>
        <w:widowControl/>
        <w:numPr>
          <w:ilvl w:val="0"/>
          <w:numId w:val="14"/>
        </w:numPr>
        <w:suppressAutoHyphens w:val="0"/>
        <w:autoSpaceDE/>
        <w:autoSpaceDN/>
        <w:spacing w:after="60"/>
        <w:ind w:left="567" w:hanging="567"/>
        <w:jc w:val="both"/>
        <w:textAlignment w:val="auto"/>
        <w:rPr>
          <w:rFonts w:asciiTheme="minorHAnsi" w:hAnsiTheme="minorHAnsi" w:cs="Arial"/>
        </w:rPr>
      </w:pPr>
      <w:r w:rsidRPr="0055051A">
        <w:rPr>
          <w:rFonts w:asciiTheme="minorHAnsi" w:hAnsiTheme="minorHAnsi" w:cs="Arial"/>
        </w:rPr>
        <w:t xml:space="preserve">All persons named in the grant, transfer, or agreement for transfer of the subject property as the grantee or transferee must be 18 years or over on the date of the grant, transfer or agreement for transfer. </w:t>
      </w:r>
    </w:p>
    <w:p w:rsidR="006104BB" w:rsidRPr="0055051A" w:rsidRDefault="006104BB" w:rsidP="006104BB">
      <w:pPr>
        <w:widowControl/>
        <w:numPr>
          <w:ilvl w:val="0"/>
          <w:numId w:val="14"/>
        </w:numPr>
        <w:suppressAutoHyphens w:val="0"/>
        <w:autoSpaceDE/>
        <w:autoSpaceDN/>
        <w:spacing w:before="60" w:after="60"/>
        <w:ind w:left="567" w:hanging="567"/>
        <w:jc w:val="both"/>
        <w:textAlignment w:val="auto"/>
        <w:rPr>
          <w:rFonts w:asciiTheme="minorHAnsi" w:hAnsiTheme="minorHAnsi" w:cs="Arial"/>
        </w:rPr>
      </w:pPr>
      <w:r w:rsidRPr="0055051A">
        <w:rPr>
          <w:rFonts w:asciiTheme="minorHAnsi" w:hAnsiTheme="minorHAnsi" w:cs="Arial"/>
        </w:rPr>
        <w:t xml:space="preserve">The Commissioner may exempt the applicant from the requirement to be at least 18 years old if the Commissioner believes there is good reason to do so.  Supporting details must be provided with the application. </w:t>
      </w:r>
    </w:p>
    <w:p w:rsidR="006104BB" w:rsidRPr="0055051A" w:rsidRDefault="006104BB" w:rsidP="006104BB">
      <w:pPr>
        <w:adjustRightInd w:val="0"/>
        <w:spacing w:before="120" w:after="120"/>
        <w:jc w:val="both"/>
        <w:rPr>
          <w:rFonts w:asciiTheme="minorHAnsi" w:hAnsiTheme="minorHAnsi" w:cs="Arial"/>
          <w:b/>
          <w:bCs/>
        </w:rPr>
      </w:pPr>
      <w:r w:rsidRPr="0055051A">
        <w:rPr>
          <w:rFonts w:asciiTheme="minorHAnsi" w:hAnsiTheme="minorHAnsi" w:cs="Arial"/>
          <w:b/>
          <w:bCs/>
        </w:rPr>
        <w:t xml:space="preserve">Refusal of concession and/or payment of full duty, interest, penalty tax </w:t>
      </w:r>
    </w:p>
    <w:p w:rsidR="006104BB" w:rsidRPr="0055051A" w:rsidRDefault="006104BB" w:rsidP="006104BB">
      <w:pPr>
        <w:widowControl/>
        <w:numPr>
          <w:ilvl w:val="0"/>
          <w:numId w:val="14"/>
        </w:numPr>
        <w:suppressAutoHyphens w:val="0"/>
        <w:autoSpaceDE/>
        <w:autoSpaceDN/>
        <w:spacing w:after="60"/>
        <w:ind w:left="567" w:hanging="567"/>
        <w:jc w:val="both"/>
        <w:textAlignment w:val="auto"/>
        <w:rPr>
          <w:rFonts w:asciiTheme="minorHAnsi" w:hAnsiTheme="minorHAnsi" w:cs="Arial"/>
        </w:rPr>
      </w:pPr>
      <w:r w:rsidRPr="0055051A">
        <w:rPr>
          <w:rFonts w:asciiTheme="minorHAnsi" w:hAnsiTheme="minorHAnsi" w:cs="Arial"/>
        </w:rPr>
        <w:t>Applicants must ensure the information they provide is accurate.  Failure to provide accurate information may result in the concession being denied and/or payment of the duty in full under an amended assessment.  Depending on the circumstances, interest and penalty tax may also be applied.</w:t>
      </w:r>
    </w:p>
    <w:p w:rsidR="006104BB" w:rsidRPr="0055051A" w:rsidRDefault="006104BB" w:rsidP="006104BB">
      <w:pPr>
        <w:tabs>
          <w:tab w:val="num" w:pos="709"/>
        </w:tabs>
        <w:adjustRightInd w:val="0"/>
        <w:spacing w:before="120" w:after="120"/>
        <w:ind w:left="567" w:hanging="567"/>
        <w:jc w:val="both"/>
        <w:rPr>
          <w:rFonts w:asciiTheme="minorHAnsi" w:hAnsiTheme="minorHAnsi" w:cs="Arial"/>
          <w:b/>
        </w:rPr>
      </w:pPr>
      <w:r w:rsidRPr="0055051A">
        <w:rPr>
          <w:rFonts w:asciiTheme="minorHAnsi" w:hAnsiTheme="minorHAnsi" w:cs="Arial"/>
          <w:b/>
        </w:rPr>
        <w:t>Criminal penalties</w:t>
      </w:r>
    </w:p>
    <w:p w:rsidR="006104BB" w:rsidRPr="0055051A" w:rsidRDefault="006104BB" w:rsidP="006104BB">
      <w:pPr>
        <w:widowControl/>
        <w:numPr>
          <w:ilvl w:val="0"/>
          <w:numId w:val="14"/>
        </w:numPr>
        <w:suppressAutoHyphens w:val="0"/>
        <w:autoSpaceDE/>
        <w:autoSpaceDN/>
        <w:ind w:left="567" w:hanging="567"/>
        <w:jc w:val="both"/>
        <w:textAlignment w:val="auto"/>
        <w:rPr>
          <w:rFonts w:asciiTheme="minorHAnsi" w:hAnsiTheme="minorHAnsi" w:cs="Arial"/>
        </w:rPr>
      </w:pPr>
      <w:r w:rsidRPr="0055051A">
        <w:rPr>
          <w:rFonts w:asciiTheme="minorHAnsi" w:hAnsiTheme="minorHAnsi" w:cs="Arial"/>
        </w:rPr>
        <w:t xml:space="preserve">Giving false or misleading information is a serious offence.  For details of the serious criminal offences of making, giving or producing false or misleading statements, information or documents:  see the </w:t>
      </w:r>
      <w:r w:rsidRPr="0055051A">
        <w:rPr>
          <w:rFonts w:asciiTheme="minorHAnsi" w:hAnsiTheme="minorHAnsi" w:cs="Arial"/>
          <w:i/>
        </w:rPr>
        <w:t>Criminal Code 2002</w:t>
      </w:r>
      <w:r w:rsidRPr="0055051A">
        <w:rPr>
          <w:rFonts w:asciiTheme="minorHAnsi" w:hAnsiTheme="minorHAnsi" w:cs="Arial"/>
        </w:rPr>
        <w:t xml:space="preserve">. </w:t>
      </w:r>
    </w:p>
    <w:p w:rsidR="006104BB" w:rsidRPr="0055051A" w:rsidRDefault="006104BB" w:rsidP="006104BB">
      <w:pPr>
        <w:adjustRightInd w:val="0"/>
        <w:ind w:left="567" w:hanging="567"/>
        <w:rPr>
          <w:rFonts w:asciiTheme="minorHAnsi" w:hAnsiTheme="minorHAnsi" w:cs="Arial"/>
          <w:bCs/>
        </w:rPr>
      </w:pPr>
    </w:p>
    <w:p w:rsidR="006104BB" w:rsidRDefault="006104BB" w:rsidP="006104BB">
      <w:pPr>
        <w:adjustRightInd w:val="0"/>
        <w:ind w:left="567" w:hanging="567"/>
        <w:rPr>
          <w:rFonts w:asciiTheme="minorHAnsi" w:hAnsiTheme="minorHAnsi" w:cs="Arial"/>
          <w:bCs/>
        </w:rPr>
      </w:pPr>
      <w:r>
        <w:rPr>
          <w:rFonts w:asciiTheme="minorHAnsi" w:hAnsiTheme="minorHAnsi" w:cs="Arial"/>
          <w:bCs/>
        </w:rPr>
        <w:t>SIGNED</w:t>
      </w:r>
    </w:p>
    <w:p w:rsidR="006104BB" w:rsidRDefault="006104BB" w:rsidP="006104BB">
      <w:pPr>
        <w:adjustRightInd w:val="0"/>
        <w:ind w:left="567" w:hanging="567"/>
        <w:rPr>
          <w:rFonts w:asciiTheme="minorHAnsi" w:hAnsiTheme="minorHAnsi" w:cs="Arial"/>
          <w:bCs/>
        </w:rPr>
      </w:pPr>
    </w:p>
    <w:p w:rsidR="006104BB" w:rsidRPr="0055051A" w:rsidRDefault="006104BB" w:rsidP="006104BB">
      <w:pPr>
        <w:adjustRightInd w:val="0"/>
        <w:ind w:left="567" w:hanging="567"/>
        <w:rPr>
          <w:rFonts w:asciiTheme="minorHAnsi" w:hAnsiTheme="minorHAnsi" w:cs="Arial"/>
          <w:bCs/>
        </w:rPr>
      </w:pPr>
      <w:r w:rsidRPr="0055051A">
        <w:rPr>
          <w:rFonts w:asciiTheme="minorHAnsi" w:hAnsiTheme="minorHAnsi" w:cs="Arial"/>
          <w:bCs/>
        </w:rPr>
        <w:t>Kim Salisbury</w:t>
      </w:r>
    </w:p>
    <w:p w:rsidR="006104BB" w:rsidRPr="0055051A" w:rsidRDefault="006104BB" w:rsidP="006104BB">
      <w:pPr>
        <w:adjustRightInd w:val="0"/>
        <w:ind w:left="567" w:hanging="567"/>
        <w:rPr>
          <w:rFonts w:asciiTheme="minorHAnsi" w:hAnsiTheme="minorHAnsi" w:cs="Arial"/>
        </w:rPr>
      </w:pPr>
      <w:r w:rsidRPr="0055051A">
        <w:rPr>
          <w:rFonts w:asciiTheme="minorHAnsi" w:hAnsiTheme="minorHAnsi" w:cs="Arial"/>
        </w:rPr>
        <w:t>Commissioner for ACT Revenue</w:t>
      </w:r>
    </w:p>
    <w:p w:rsidR="006104BB" w:rsidRPr="0055051A" w:rsidRDefault="006104BB" w:rsidP="006104BB">
      <w:pPr>
        <w:adjustRightInd w:val="0"/>
        <w:ind w:left="567" w:hanging="567"/>
        <w:rPr>
          <w:rFonts w:asciiTheme="minorHAnsi" w:hAnsiTheme="minorHAnsi" w:cs="Arial"/>
          <w:bCs/>
        </w:rPr>
      </w:pPr>
      <w:r>
        <w:rPr>
          <w:rFonts w:asciiTheme="minorHAnsi" w:hAnsiTheme="minorHAnsi" w:cs="Arial"/>
          <w:bCs/>
        </w:rPr>
        <w:t>8</w:t>
      </w:r>
      <w:r w:rsidRPr="0055051A">
        <w:rPr>
          <w:rFonts w:asciiTheme="minorHAnsi" w:hAnsiTheme="minorHAnsi" w:cs="Arial"/>
          <w:bCs/>
        </w:rPr>
        <w:t xml:space="preserve"> June 2016</w:t>
      </w:r>
    </w:p>
    <w:p w:rsidR="00EB5FB9" w:rsidRDefault="00EB5FB9" w:rsidP="006104BB">
      <w:pPr>
        <w:pStyle w:val="Heading2"/>
        <w:spacing w:before="60"/>
        <w:ind w:left="567" w:hanging="567"/>
        <w:rPr>
          <w:rFonts w:cs="Arial"/>
          <w:bCs w:val="0"/>
        </w:rPr>
      </w:pPr>
    </w:p>
    <w:sectPr w:rsidR="00EB5FB9" w:rsidSect="006104BB">
      <w:pgSz w:w="11910" w:h="16840" w:code="9"/>
      <w:pgMar w:top="993" w:right="992" w:bottom="851"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75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nsid w:val="05FC44EB"/>
    <w:multiLevelType w:val="hybridMultilevel"/>
    <w:tmpl w:val="4B5C62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F33C52"/>
    <w:multiLevelType w:val="hybridMultilevel"/>
    <w:tmpl w:val="8F6825E8"/>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0E674A54"/>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0E8822B8"/>
    <w:multiLevelType w:val="hybridMultilevel"/>
    <w:tmpl w:val="E954DFF8"/>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1A5F6A8C"/>
    <w:multiLevelType w:val="hybridMultilevel"/>
    <w:tmpl w:val="926EFC82"/>
    <w:lvl w:ilvl="0" w:tplc="98DA61A4">
      <w:start w:val="1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22ED2736"/>
    <w:multiLevelType w:val="hybridMultilevel"/>
    <w:tmpl w:val="F362B60A"/>
    <w:lvl w:ilvl="0" w:tplc="4B348924">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322C7C56"/>
    <w:multiLevelType w:val="hybridMultilevel"/>
    <w:tmpl w:val="5664C438"/>
    <w:lvl w:ilvl="0" w:tplc="12C6B126">
      <w:start w:val="1"/>
      <w:numFmt w:val="decimal"/>
      <w:lvlText w:val="%1."/>
      <w:lvlJc w:val="left"/>
      <w:pPr>
        <w:tabs>
          <w:tab w:val="num" w:pos="1080"/>
        </w:tabs>
        <w:ind w:left="1080" w:hanging="720"/>
      </w:pPr>
      <w:rPr>
        <w:rFonts w:cs="Times New Roman" w:hint="default"/>
        <w:b w:val="0"/>
        <w:i w:val="0"/>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1B20B7"/>
    <w:multiLevelType w:val="hybridMultilevel"/>
    <w:tmpl w:val="DF8C90D4"/>
    <w:lvl w:ilvl="0" w:tplc="A710AD68">
      <w:start w:val="1"/>
      <w:numFmt w:val="decimal"/>
      <w:lvlText w:val="%1."/>
      <w:lvlJc w:val="left"/>
      <w:pPr>
        <w:ind w:left="720" w:hanging="360"/>
      </w:pPr>
      <w:rPr>
        <w:rFonts w:cs="Times New Roman" w:hint="default"/>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9"/>
  </w:num>
  <w:num w:numId="5">
    <w:abstractNumId w:val="12"/>
  </w:num>
  <w:num w:numId="6">
    <w:abstractNumId w:val="10"/>
  </w:num>
  <w:num w:numId="7">
    <w:abstractNumId w:val="7"/>
  </w:num>
  <w:num w:numId="8">
    <w:abstractNumId w:val="5"/>
  </w:num>
  <w:num w:numId="9">
    <w:abstractNumId w:val="0"/>
  </w:num>
  <w:num w:numId="10">
    <w:abstractNumId w:val="4"/>
  </w:num>
  <w:num w:numId="11">
    <w:abstractNumId w:val="1"/>
  </w:num>
  <w:num w:numId="12">
    <w:abstractNumId w:val="2"/>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5B0828"/>
    <w:rsid w:val="000A00F3"/>
    <w:rsid w:val="000D649E"/>
    <w:rsid w:val="000D64C3"/>
    <w:rsid w:val="00193116"/>
    <w:rsid w:val="00210C1D"/>
    <w:rsid w:val="002240B1"/>
    <w:rsid w:val="00244887"/>
    <w:rsid w:val="00275FAE"/>
    <w:rsid w:val="00310E54"/>
    <w:rsid w:val="00367BA7"/>
    <w:rsid w:val="00387A43"/>
    <w:rsid w:val="00391CB7"/>
    <w:rsid w:val="00505509"/>
    <w:rsid w:val="00524528"/>
    <w:rsid w:val="005B0828"/>
    <w:rsid w:val="006104BB"/>
    <w:rsid w:val="00623D7C"/>
    <w:rsid w:val="006B0ECA"/>
    <w:rsid w:val="006B2035"/>
    <w:rsid w:val="006B261B"/>
    <w:rsid w:val="00712A2B"/>
    <w:rsid w:val="00770044"/>
    <w:rsid w:val="00822F9C"/>
    <w:rsid w:val="008B1CDE"/>
    <w:rsid w:val="00914F0E"/>
    <w:rsid w:val="0096709E"/>
    <w:rsid w:val="00A812EA"/>
    <w:rsid w:val="00AD4741"/>
    <w:rsid w:val="00AF7801"/>
    <w:rsid w:val="00BB7D19"/>
    <w:rsid w:val="00BE0B6D"/>
    <w:rsid w:val="00BF64D2"/>
    <w:rsid w:val="00C24521"/>
    <w:rsid w:val="00C47064"/>
    <w:rsid w:val="00C63DE7"/>
    <w:rsid w:val="00C82405"/>
    <w:rsid w:val="00C8554F"/>
    <w:rsid w:val="00CD0ACD"/>
    <w:rsid w:val="00CD6913"/>
    <w:rsid w:val="00D908F9"/>
    <w:rsid w:val="00D914EA"/>
    <w:rsid w:val="00DA0B26"/>
    <w:rsid w:val="00DA6ED5"/>
    <w:rsid w:val="00E81FA3"/>
    <w:rsid w:val="00EB5FB9"/>
    <w:rsid w:val="00EB74B1"/>
    <w:rsid w:val="00F44A8D"/>
    <w:rsid w:val="00F9666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act.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48AA0-BE7E-4171-AD8D-9A980DBA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1270</Words>
  <Characters>6452</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6</cp:revision>
  <cp:lastPrinted>2017-05-08T23:51:00Z</cp:lastPrinted>
  <dcterms:created xsi:type="dcterms:W3CDTF">2017-06-14T02:31:00Z</dcterms:created>
  <dcterms:modified xsi:type="dcterms:W3CDTF">2017-06-14T02:43:00Z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