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E23EE7" w:rsidP="00310395">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062F9">
            <w:pPr>
              <w:jc w:val="both"/>
              <w:rPr>
                <w:b/>
                <w:lang w:eastAsia="en-US"/>
              </w:rPr>
            </w:pPr>
            <w:r>
              <w:rPr>
                <w:b/>
                <w:lang w:eastAsia="en-US"/>
              </w:rPr>
              <w:t xml:space="preserve">REVENUE CIRCULAR </w:t>
            </w:r>
            <w:r w:rsidR="00D20092">
              <w:rPr>
                <w:b/>
                <w:lang w:eastAsia="en-US"/>
              </w:rPr>
              <w:t>FHOG00</w:t>
            </w:r>
            <w:r w:rsidR="00371BAC">
              <w:rPr>
                <w:b/>
                <w:lang w:eastAsia="en-US"/>
              </w:rPr>
              <w:t>4.1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9062F9" w:rsidRDefault="00371BAC" w:rsidP="00CF5275">
            <w:pPr>
              <w:jc w:val="both"/>
              <w:rPr>
                <w:i/>
                <w:lang w:eastAsia="en-US"/>
              </w:rPr>
            </w:pPr>
            <w:r>
              <w:rPr>
                <w:lang w:eastAsia="en-US"/>
              </w:rPr>
              <w:t>Eligibility for a further grant</w:t>
            </w:r>
            <w:r w:rsidR="009062F9">
              <w:rPr>
                <w:lang w:eastAsia="en-US"/>
              </w:rPr>
              <w:t xml:space="preserve"> – </w:t>
            </w:r>
            <w:r w:rsidR="009062F9" w:rsidRPr="009062F9">
              <w:rPr>
                <w:i/>
                <w:lang w:eastAsia="en-US"/>
              </w:rPr>
              <w:t>First Home Owner Grant Act 2000</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062F9">
            <w:pPr>
              <w:jc w:val="both"/>
              <w:rPr>
                <w:lang w:eastAsia="en-US"/>
              </w:rPr>
            </w:pPr>
            <w:r>
              <w:rPr>
                <w:lang w:eastAsia="en-US"/>
              </w:rPr>
              <w:t xml:space="preserve">Issue Date: </w:t>
            </w:r>
            <w:r w:rsidR="00D20092">
              <w:rPr>
                <w:lang w:eastAsia="en-US"/>
              </w:rPr>
              <w:t>7</w:t>
            </w:r>
            <w:r w:rsidR="009062F9">
              <w:rPr>
                <w:lang w:eastAsia="en-US"/>
              </w:rPr>
              <w:t xml:space="preserve"> November</w:t>
            </w:r>
            <w:r w:rsidR="00D20092">
              <w:rPr>
                <w:lang w:eastAsia="en-US"/>
              </w:rPr>
              <w:t xml:space="preserve"> 2013</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D20092">
            <w:pPr>
              <w:jc w:val="both"/>
            </w:pPr>
            <w:r>
              <w:t>Status: Current</w:t>
            </w:r>
            <w:r w:rsidR="00BB7D19">
              <w:t xml:space="preserve"> – Effective </w:t>
            </w:r>
            <w:r w:rsidR="00D20092">
              <w:t>1 September 2013</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062F9">
            <w:pPr>
              <w:jc w:val="both"/>
            </w:pPr>
            <w:r>
              <w:t xml:space="preserve">Previous Circular: </w:t>
            </w:r>
            <w:r w:rsidR="00371BAC">
              <w:t>FHOG004.1</w:t>
            </w:r>
          </w:p>
        </w:tc>
      </w:tr>
    </w:tbl>
    <w:p w:rsidR="00F44A8D" w:rsidRPr="00AD4741" w:rsidRDefault="00BB7D19" w:rsidP="009062F9">
      <w:pPr>
        <w:pStyle w:val="Heading1"/>
        <w:spacing w:before="60" w:after="60" w:line="240" w:lineRule="auto"/>
        <w:ind w:left="1701" w:hanging="567"/>
        <w:jc w:val="both"/>
      </w:pPr>
      <w:r>
        <w:t>Preamble</w:t>
      </w:r>
    </w:p>
    <w:p w:rsidR="00371BAC" w:rsidRPr="00371BAC" w:rsidRDefault="00371BAC" w:rsidP="00371BAC">
      <w:pPr>
        <w:spacing w:before="120" w:after="120"/>
        <w:ind w:left="1560" w:hanging="426"/>
        <w:jc w:val="both"/>
        <w:rPr>
          <w:rFonts w:asciiTheme="minorHAnsi" w:hAnsiTheme="minorHAnsi" w:cs="Arial"/>
          <w:sz w:val="22"/>
          <w:szCs w:val="22"/>
        </w:rPr>
      </w:pPr>
      <w:r>
        <w:rPr>
          <w:rFonts w:asciiTheme="minorHAnsi" w:hAnsiTheme="minorHAnsi" w:cs="Arial"/>
          <w:color w:val="000000"/>
        </w:rPr>
        <w:t>1.</w:t>
      </w:r>
      <w:r>
        <w:rPr>
          <w:rFonts w:asciiTheme="minorHAnsi" w:hAnsiTheme="minorHAnsi" w:cs="Arial"/>
          <w:color w:val="000000"/>
        </w:rPr>
        <w:tab/>
      </w:r>
      <w:r w:rsidRPr="00371BAC">
        <w:rPr>
          <w:rFonts w:asciiTheme="minorHAnsi" w:hAnsiTheme="minorHAnsi" w:cs="Arial"/>
          <w:color w:val="000000"/>
          <w:sz w:val="22"/>
          <w:szCs w:val="22"/>
        </w:rPr>
        <w:t xml:space="preserve">The purpose of the First Home Owner Grant is to encourage home ownership by providing assistance to eligible persons for the purchase or construction of their first home.  </w:t>
      </w:r>
      <w:r w:rsidRPr="00371BAC">
        <w:rPr>
          <w:rFonts w:asciiTheme="minorHAnsi" w:hAnsiTheme="minorHAnsi" w:cs="Arial"/>
          <w:sz w:val="22"/>
          <w:szCs w:val="22"/>
        </w:rPr>
        <w:t xml:space="preserve">For full details of the </w:t>
      </w:r>
      <w:r w:rsidRPr="00371BAC">
        <w:rPr>
          <w:rFonts w:asciiTheme="minorHAnsi" w:hAnsiTheme="minorHAnsi" w:cs="Arial"/>
          <w:color w:val="000000"/>
          <w:sz w:val="22"/>
          <w:szCs w:val="22"/>
        </w:rPr>
        <w:t>First Home Owner Grant (FHOG) S</w:t>
      </w:r>
      <w:r w:rsidRPr="00371BAC">
        <w:rPr>
          <w:rFonts w:asciiTheme="minorHAnsi" w:hAnsiTheme="minorHAnsi" w:cs="Arial"/>
          <w:sz w:val="22"/>
          <w:szCs w:val="22"/>
        </w:rPr>
        <w:t>cheme, see the FHOG Lodg</w:t>
      </w:r>
      <w:r>
        <w:rPr>
          <w:rFonts w:asciiTheme="minorHAnsi" w:hAnsiTheme="minorHAnsi" w:cs="Arial"/>
          <w:sz w:val="22"/>
          <w:szCs w:val="22"/>
        </w:rPr>
        <w:t>e</w:t>
      </w:r>
      <w:r w:rsidRPr="00371BAC">
        <w:rPr>
          <w:rFonts w:asciiTheme="minorHAnsi" w:hAnsiTheme="minorHAnsi" w:cs="Arial"/>
          <w:sz w:val="22"/>
          <w:szCs w:val="22"/>
        </w:rPr>
        <w:t>ment</w:t>
      </w:r>
      <w:r>
        <w:rPr>
          <w:rFonts w:asciiTheme="minorHAnsi" w:hAnsiTheme="minorHAnsi" w:cs="Arial"/>
          <w:sz w:val="22"/>
          <w:szCs w:val="22"/>
        </w:rPr>
        <w:t xml:space="preserve"> Guide and Application Form on </w:t>
      </w:r>
      <w:r w:rsidRPr="00371BAC">
        <w:rPr>
          <w:rFonts w:asciiTheme="minorHAnsi" w:hAnsiTheme="minorHAnsi" w:cs="Arial"/>
          <w:sz w:val="22"/>
          <w:szCs w:val="22"/>
        </w:rPr>
        <w:t>t</w:t>
      </w:r>
      <w:r>
        <w:rPr>
          <w:rFonts w:asciiTheme="minorHAnsi" w:hAnsiTheme="minorHAnsi" w:cs="Arial"/>
          <w:sz w:val="22"/>
          <w:szCs w:val="22"/>
        </w:rPr>
        <w:t>he</w:t>
      </w:r>
      <w:r>
        <w:rPr>
          <w:rFonts w:asciiTheme="minorHAnsi" w:hAnsiTheme="minorHAnsi" w:cs="Arial"/>
          <w:sz w:val="22"/>
          <w:szCs w:val="22"/>
        </w:rPr>
        <w:br/>
      </w:r>
      <w:hyperlink r:id="rId9" w:history="1">
        <w:r>
          <w:rPr>
            <w:rStyle w:val="Hyperlink"/>
            <w:rFonts w:asciiTheme="minorHAnsi" w:hAnsiTheme="minorHAnsi" w:cs="Arial"/>
            <w:sz w:val="22"/>
            <w:szCs w:val="22"/>
          </w:rPr>
          <w:t>ACT Revenue Office</w:t>
        </w:r>
      </w:hyperlink>
      <w:r>
        <w:rPr>
          <w:rFonts w:asciiTheme="minorHAnsi" w:hAnsiTheme="minorHAnsi" w:cs="Arial"/>
          <w:sz w:val="22"/>
          <w:szCs w:val="22"/>
        </w:rPr>
        <w:t xml:space="preserve"> website.</w:t>
      </w:r>
    </w:p>
    <w:p w:rsidR="00371BAC" w:rsidRPr="00371BAC" w:rsidRDefault="00371BAC" w:rsidP="00371BAC">
      <w:pPr>
        <w:adjustRightInd w:val="0"/>
        <w:spacing w:before="120" w:after="120"/>
        <w:ind w:left="1560" w:hanging="426"/>
        <w:jc w:val="both"/>
        <w:rPr>
          <w:rFonts w:asciiTheme="minorHAnsi" w:hAnsiTheme="minorHAnsi" w:cs="Arial"/>
          <w:color w:val="000000"/>
          <w:sz w:val="22"/>
          <w:szCs w:val="22"/>
        </w:rPr>
      </w:pPr>
      <w:r w:rsidRPr="00371BAC">
        <w:rPr>
          <w:rFonts w:asciiTheme="minorHAnsi" w:hAnsiTheme="minorHAnsi" w:cs="Arial"/>
          <w:color w:val="000000"/>
          <w:sz w:val="22"/>
          <w:szCs w:val="22"/>
        </w:rPr>
        <w:t>2.</w:t>
      </w:r>
      <w:r w:rsidRPr="00371BAC">
        <w:rPr>
          <w:rFonts w:asciiTheme="minorHAnsi" w:hAnsiTheme="minorHAnsi" w:cs="Arial"/>
          <w:color w:val="000000"/>
          <w:sz w:val="22"/>
          <w:szCs w:val="22"/>
        </w:rPr>
        <w:tab/>
        <w:t xml:space="preserve">One of the conditions of the FHOG is that an applicant, or an applicant’s partner, must not have received an earlier grant. However an applicant may be eligible if the FHOG was paid but later paid back, either under the conditions on which the grant was made, or together with any penalties and/or interest that may have been imposed.  Eligibility for a further grant also depends on the commencement date of the earlier transaction for which the grant was repaid.  </w:t>
      </w:r>
    </w:p>
    <w:p w:rsidR="00371BAC" w:rsidRPr="00371BAC" w:rsidRDefault="00371BAC" w:rsidP="00371BAC">
      <w:pPr>
        <w:adjustRightInd w:val="0"/>
        <w:spacing w:before="120" w:after="120"/>
        <w:ind w:left="1560" w:hanging="426"/>
        <w:jc w:val="both"/>
        <w:rPr>
          <w:rFonts w:asciiTheme="minorHAnsi" w:hAnsiTheme="minorHAnsi" w:cs="Arial"/>
          <w:color w:val="000000"/>
          <w:sz w:val="22"/>
          <w:szCs w:val="22"/>
        </w:rPr>
      </w:pPr>
      <w:r w:rsidRPr="00371BAC">
        <w:rPr>
          <w:rFonts w:asciiTheme="minorHAnsi" w:hAnsiTheme="minorHAnsi" w:cs="Arial"/>
          <w:sz w:val="22"/>
          <w:szCs w:val="22"/>
        </w:rPr>
        <w:t>3.</w:t>
      </w:r>
      <w:r w:rsidRPr="00371BAC">
        <w:rPr>
          <w:rFonts w:asciiTheme="minorHAnsi" w:hAnsiTheme="minorHAnsi"/>
          <w:sz w:val="22"/>
          <w:szCs w:val="22"/>
        </w:rPr>
        <w:tab/>
      </w:r>
      <w:r w:rsidRPr="00371BAC">
        <w:rPr>
          <w:rFonts w:asciiTheme="minorHAnsi" w:hAnsiTheme="minorHAnsi" w:cs="Arial"/>
          <w:color w:val="000000"/>
          <w:sz w:val="22"/>
          <w:szCs w:val="22"/>
        </w:rPr>
        <w:t xml:space="preserve">This circular addresses the requirements in the </w:t>
      </w:r>
      <w:r w:rsidRPr="00371BAC">
        <w:rPr>
          <w:rFonts w:asciiTheme="minorHAnsi" w:hAnsiTheme="minorHAnsi" w:cs="Arial"/>
          <w:i/>
          <w:color w:val="000000"/>
          <w:sz w:val="22"/>
          <w:szCs w:val="22"/>
        </w:rPr>
        <w:t>First Home Owner Grant Act 2000</w:t>
      </w:r>
      <w:r w:rsidRPr="00371BAC">
        <w:rPr>
          <w:rFonts w:asciiTheme="minorHAnsi" w:hAnsiTheme="minorHAnsi" w:cs="Arial"/>
          <w:color w:val="000000"/>
          <w:sz w:val="22"/>
          <w:szCs w:val="22"/>
        </w:rPr>
        <w:t xml:space="preserve"> (FHOG Act) where applicants who have received a FHOG and paid it back may be eligible to receive a further grant on the purchase of a different property.  </w:t>
      </w:r>
    </w:p>
    <w:p w:rsidR="00E81FA3" w:rsidRDefault="00F44A8D" w:rsidP="009062F9">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371BAC" w:rsidRPr="00371BAC" w:rsidRDefault="00371BAC" w:rsidP="00371BAC">
      <w:pPr>
        <w:adjustRightInd w:val="0"/>
        <w:spacing w:before="120" w:after="120"/>
        <w:ind w:left="1560" w:hanging="426"/>
        <w:outlineLvl w:val="0"/>
        <w:rPr>
          <w:rFonts w:asciiTheme="minorHAnsi" w:hAnsiTheme="minorHAnsi" w:cs="Arial"/>
          <w:b/>
          <w:color w:val="000000"/>
          <w:sz w:val="22"/>
          <w:szCs w:val="22"/>
        </w:rPr>
      </w:pPr>
      <w:r w:rsidRPr="00371BAC">
        <w:rPr>
          <w:rFonts w:asciiTheme="minorHAnsi" w:hAnsiTheme="minorHAnsi" w:cs="Arial"/>
          <w:b/>
          <w:color w:val="000000"/>
          <w:sz w:val="22"/>
          <w:szCs w:val="22"/>
        </w:rPr>
        <w:t>When is an applicant eligible to receive a further grant?</w:t>
      </w:r>
    </w:p>
    <w:p w:rsidR="00371BAC" w:rsidRPr="00371BAC" w:rsidRDefault="00371BAC" w:rsidP="00371BAC">
      <w:pPr>
        <w:adjustRightInd w:val="0"/>
        <w:spacing w:before="120" w:after="120"/>
        <w:ind w:left="1560" w:hanging="426"/>
        <w:jc w:val="both"/>
        <w:rPr>
          <w:rFonts w:asciiTheme="minorHAnsi" w:hAnsiTheme="minorHAnsi" w:cs="Arial"/>
          <w:color w:val="000000"/>
          <w:sz w:val="22"/>
          <w:szCs w:val="22"/>
        </w:rPr>
      </w:pPr>
      <w:r w:rsidRPr="00371BAC">
        <w:rPr>
          <w:rFonts w:asciiTheme="minorHAnsi" w:hAnsiTheme="minorHAnsi" w:cs="Arial"/>
          <w:color w:val="000000"/>
          <w:sz w:val="22"/>
          <w:szCs w:val="22"/>
        </w:rPr>
        <w:t>4.</w:t>
      </w:r>
      <w:r w:rsidRPr="00371BAC">
        <w:rPr>
          <w:rFonts w:asciiTheme="minorHAnsi" w:hAnsiTheme="minorHAnsi" w:cs="Arial"/>
          <w:color w:val="000000"/>
          <w:sz w:val="22"/>
          <w:szCs w:val="22"/>
        </w:rPr>
        <w:tab/>
        <w:t xml:space="preserve">The conditions on which an applicant may receive a further FHOG are different depending on the commencement date of the eligible transaction for which an earlier grant has been paid back.  </w:t>
      </w:r>
    </w:p>
    <w:p w:rsidR="00371BAC" w:rsidRPr="00371BAC" w:rsidRDefault="00371BAC" w:rsidP="00371BAC">
      <w:pPr>
        <w:adjustRightInd w:val="0"/>
        <w:spacing w:before="120" w:after="120"/>
        <w:ind w:left="1560" w:hanging="426"/>
        <w:outlineLvl w:val="0"/>
        <w:rPr>
          <w:rFonts w:asciiTheme="minorHAnsi" w:hAnsiTheme="minorHAnsi" w:cs="Arial"/>
          <w:b/>
          <w:color w:val="000000"/>
          <w:sz w:val="22"/>
          <w:szCs w:val="22"/>
        </w:rPr>
      </w:pPr>
      <w:r w:rsidRPr="00371BAC">
        <w:rPr>
          <w:rFonts w:asciiTheme="minorHAnsi" w:hAnsiTheme="minorHAnsi" w:cs="Arial"/>
          <w:b/>
          <w:color w:val="000000"/>
          <w:sz w:val="22"/>
          <w:szCs w:val="22"/>
        </w:rPr>
        <w:t>Grant repaid on an eligible transaction with a commencement date prior to 1 January 2011</w:t>
      </w:r>
    </w:p>
    <w:p w:rsidR="00371BAC" w:rsidRPr="00371BAC" w:rsidRDefault="00371BAC" w:rsidP="00371BAC">
      <w:pPr>
        <w:adjustRightInd w:val="0"/>
        <w:spacing w:before="120" w:after="120"/>
        <w:ind w:left="1560" w:hanging="426"/>
        <w:jc w:val="both"/>
        <w:rPr>
          <w:rFonts w:asciiTheme="minorHAnsi" w:hAnsiTheme="minorHAnsi" w:cs="Arial"/>
          <w:color w:val="000000"/>
          <w:sz w:val="22"/>
          <w:szCs w:val="22"/>
        </w:rPr>
      </w:pPr>
      <w:r w:rsidRPr="00371BAC">
        <w:rPr>
          <w:rFonts w:asciiTheme="minorHAnsi" w:hAnsiTheme="minorHAnsi" w:cs="Arial"/>
          <w:color w:val="000000"/>
          <w:sz w:val="22"/>
          <w:szCs w:val="22"/>
        </w:rPr>
        <w:t>5.</w:t>
      </w:r>
      <w:r w:rsidRPr="00371BAC">
        <w:rPr>
          <w:rFonts w:asciiTheme="minorHAnsi" w:hAnsiTheme="minorHAnsi" w:cs="Arial"/>
          <w:color w:val="000000"/>
          <w:sz w:val="22"/>
          <w:szCs w:val="22"/>
        </w:rPr>
        <w:tab/>
        <w:t xml:space="preserve">For an eligible transaction with a commencement date prior to 1 January 2011 where a FHOG has been repaid, an applicant will only be considered for a further grant where the earlier grant is paid back under the conditions on which the grant was made.  This is the case regardless of the date the earlier grant was repaid. </w:t>
      </w:r>
    </w:p>
    <w:p w:rsidR="00371BAC" w:rsidRPr="00371BAC" w:rsidRDefault="00371BAC" w:rsidP="00371BAC">
      <w:pPr>
        <w:adjustRightInd w:val="0"/>
        <w:spacing w:before="120" w:after="120"/>
        <w:ind w:left="1560" w:hanging="426"/>
        <w:jc w:val="both"/>
        <w:rPr>
          <w:rFonts w:asciiTheme="minorHAnsi" w:hAnsiTheme="minorHAnsi" w:cs="Arial"/>
          <w:color w:val="000000"/>
          <w:sz w:val="22"/>
          <w:szCs w:val="22"/>
        </w:rPr>
      </w:pPr>
      <w:r w:rsidRPr="00371BAC">
        <w:rPr>
          <w:rFonts w:asciiTheme="minorHAnsi" w:hAnsiTheme="minorHAnsi" w:cs="Arial"/>
          <w:color w:val="000000"/>
          <w:sz w:val="22"/>
          <w:szCs w:val="22"/>
        </w:rPr>
        <w:t>6.</w:t>
      </w:r>
      <w:r w:rsidRPr="00371BAC">
        <w:rPr>
          <w:rFonts w:asciiTheme="minorHAnsi" w:hAnsiTheme="minorHAnsi" w:cs="Arial"/>
          <w:color w:val="000000"/>
          <w:sz w:val="22"/>
          <w:szCs w:val="22"/>
        </w:rPr>
        <w:tab/>
        <w:t>An example of one of the conditions of an applicant receiving the FHOG is the residency requirement.  An applicant must live in the property for a continuous period of 1 year, commencing within 1 year after completion of the eligible transaction.  If an applicant does not meet the residency requirement and repays the grant voluntarily, the applicant may be eligible to receive a further grant, provided they are an eligible person purchasing an eligible property and meet all criteria associated with the grant.</w:t>
      </w:r>
    </w:p>
    <w:p w:rsidR="00F44A8D" w:rsidRDefault="00F44A8D" w:rsidP="00AD4741">
      <w:pPr>
        <w:pStyle w:val="Heading2"/>
        <w:ind w:left="1701"/>
        <w:jc w:val="both"/>
      </w:pPr>
    </w:p>
    <w:p w:rsidR="0078298B" w:rsidRPr="0078298B" w:rsidRDefault="0078298B" w:rsidP="0078298B">
      <w:pPr>
        <w:sectPr w:rsidR="0078298B" w:rsidRPr="0078298B" w:rsidSect="00310395">
          <w:headerReference w:type="default" r:id="rId10"/>
          <w:footerReference w:type="default" r:id="rId11"/>
          <w:footerReference w:type="first" r:id="rId12"/>
          <w:pgSz w:w="11910" w:h="16840" w:code="9"/>
          <w:pgMar w:top="-9" w:right="1137" w:bottom="567" w:left="0" w:header="0" w:footer="318" w:gutter="0"/>
          <w:cols w:space="720"/>
          <w:titlePg/>
          <w:docGrid w:linePitch="326"/>
        </w:sectPr>
      </w:pPr>
    </w:p>
    <w:p w:rsidR="00371BAC" w:rsidRPr="00371BAC" w:rsidRDefault="00371BAC" w:rsidP="00371BAC">
      <w:pPr>
        <w:adjustRightInd w:val="0"/>
        <w:spacing w:before="120" w:after="120"/>
        <w:ind w:left="1276" w:hanging="425"/>
        <w:jc w:val="both"/>
        <w:rPr>
          <w:rFonts w:asciiTheme="minorHAnsi" w:hAnsiTheme="minorHAnsi" w:cs="Arial"/>
          <w:color w:val="000000"/>
          <w:sz w:val="22"/>
          <w:szCs w:val="22"/>
        </w:rPr>
      </w:pPr>
      <w:r w:rsidRPr="00371BAC">
        <w:rPr>
          <w:rFonts w:asciiTheme="minorHAnsi" w:hAnsiTheme="minorHAnsi" w:cs="Arial"/>
          <w:color w:val="000000"/>
          <w:sz w:val="22"/>
          <w:szCs w:val="22"/>
        </w:rPr>
        <w:lastRenderedPageBreak/>
        <w:t>7.</w:t>
      </w:r>
      <w:r w:rsidRPr="00371BAC">
        <w:rPr>
          <w:rFonts w:asciiTheme="minorHAnsi" w:hAnsiTheme="minorHAnsi" w:cs="Arial"/>
          <w:color w:val="000000"/>
          <w:sz w:val="22"/>
          <w:szCs w:val="22"/>
        </w:rPr>
        <w:tab/>
        <w:t xml:space="preserve">If the FHOG is not paid back under the conditions on which the grant was made, the applicant is not eligible to receive a further grant.  An example is where, on investigation, an applicant was found not to have met the conditions of the grant because they did not reside in the property for a continuous period of 1 year after completing the eligible transaction, and they did not notify the Commissioner for ACT Revenue and repay the grant within 14 days as required under section 20(2) of the FHOG Act. </w:t>
      </w:r>
    </w:p>
    <w:p w:rsidR="00371BAC" w:rsidRPr="00371BAC" w:rsidRDefault="00371BAC" w:rsidP="00371BAC">
      <w:pPr>
        <w:adjustRightInd w:val="0"/>
        <w:spacing w:before="120" w:after="120"/>
        <w:ind w:left="1276" w:hanging="425"/>
        <w:outlineLvl w:val="0"/>
        <w:rPr>
          <w:rFonts w:asciiTheme="minorHAnsi" w:hAnsiTheme="minorHAnsi" w:cs="Arial"/>
          <w:b/>
          <w:color w:val="000000"/>
          <w:sz w:val="22"/>
          <w:szCs w:val="22"/>
        </w:rPr>
      </w:pPr>
      <w:r w:rsidRPr="00371BAC">
        <w:rPr>
          <w:rFonts w:asciiTheme="minorHAnsi" w:hAnsiTheme="minorHAnsi" w:cs="Arial"/>
          <w:b/>
          <w:color w:val="000000"/>
          <w:sz w:val="22"/>
          <w:szCs w:val="22"/>
        </w:rPr>
        <w:t>Grant repaid on an eligible transaction with a commencement date 1 January 2011 or later</w:t>
      </w:r>
    </w:p>
    <w:p w:rsidR="00371BAC" w:rsidRPr="00371BAC" w:rsidRDefault="00371BAC" w:rsidP="00371BAC">
      <w:pPr>
        <w:adjustRightInd w:val="0"/>
        <w:spacing w:before="120" w:after="120"/>
        <w:ind w:left="1276" w:hanging="425"/>
        <w:jc w:val="both"/>
        <w:rPr>
          <w:rFonts w:asciiTheme="minorHAnsi" w:hAnsiTheme="minorHAnsi" w:cs="Arial"/>
          <w:color w:val="000000"/>
          <w:sz w:val="22"/>
          <w:szCs w:val="22"/>
        </w:rPr>
      </w:pPr>
      <w:r w:rsidRPr="00371BAC">
        <w:rPr>
          <w:rFonts w:asciiTheme="minorHAnsi" w:hAnsiTheme="minorHAnsi" w:cs="Arial"/>
          <w:color w:val="000000"/>
          <w:sz w:val="22"/>
          <w:szCs w:val="22"/>
        </w:rPr>
        <w:t>8.</w:t>
      </w:r>
      <w:r w:rsidRPr="00371BAC">
        <w:rPr>
          <w:rFonts w:asciiTheme="minorHAnsi" w:hAnsiTheme="minorHAnsi" w:cs="Arial"/>
          <w:color w:val="000000"/>
          <w:sz w:val="22"/>
          <w:szCs w:val="22"/>
        </w:rPr>
        <w:tab/>
        <w:t xml:space="preserve">For an eligible transaction with a commencement date on or after 1 January 2011, where an applicant repays the grant on the conditions under which the grant is made, </w:t>
      </w:r>
      <w:r w:rsidRPr="00371BAC">
        <w:rPr>
          <w:rFonts w:asciiTheme="minorHAnsi" w:hAnsiTheme="minorHAnsi" w:cs="Arial"/>
          <w:color w:val="000000"/>
          <w:sz w:val="22"/>
          <w:szCs w:val="22"/>
          <w:u w:val="single"/>
        </w:rPr>
        <w:t>or</w:t>
      </w:r>
      <w:r w:rsidRPr="00371BAC">
        <w:rPr>
          <w:rFonts w:asciiTheme="minorHAnsi" w:hAnsiTheme="minorHAnsi" w:cs="Arial"/>
          <w:color w:val="000000"/>
          <w:sz w:val="22"/>
          <w:szCs w:val="22"/>
        </w:rPr>
        <w:t xml:space="preserve"> repays the grant together with any required penalties and/or interest, the applicant may be eligible to receive a further grant.  A further grant will be paid if the applicant is an eligible person purchasing an eligible property who meets all criteria associated with the grant. </w:t>
      </w:r>
    </w:p>
    <w:p w:rsidR="00371BAC" w:rsidRPr="00371BAC" w:rsidRDefault="00371BAC" w:rsidP="00371BAC">
      <w:pPr>
        <w:adjustRightInd w:val="0"/>
        <w:spacing w:before="120" w:after="120"/>
        <w:ind w:left="1276" w:hanging="425"/>
        <w:outlineLvl w:val="0"/>
        <w:rPr>
          <w:rFonts w:asciiTheme="minorHAnsi" w:hAnsiTheme="minorHAnsi" w:cs="Arial"/>
          <w:b/>
          <w:color w:val="000000"/>
          <w:sz w:val="22"/>
          <w:szCs w:val="22"/>
        </w:rPr>
      </w:pPr>
      <w:r w:rsidRPr="00371BAC">
        <w:rPr>
          <w:rFonts w:asciiTheme="minorHAnsi" w:hAnsiTheme="minorHAnsi" w:cs="Arial"/>
          <w:b/>
          <w:color w:val="000000"/>
          <w:sz w:val="22"/>
          <w:szCs w:val="22"/>
        </w:rPr>
        <w:t>Applicants ineligible for a further grant</w:t>
      </w:r>
    </w:p>
    <w:p w:rsidR="00371BAC" w:rsidRPr="00371BAC" w:rsidRDefault="00371BAC" w:rsidP="00371BAC">
      <w:pPr>
        <w:adjustRightInd w:val="0"/>
        <w:spacing w:before="120" w:after="120"/>
        <w:ind w:left="1276" w:hanging="425"/>
        <w:jc w:val="both"/>
        <w:rPr>
          <w:rFonts w:asciiTheme="minorHAnsi" w:hAnsiTheme="minorHAnsi" w:cs="Arial"/>
          <w:color w:val="000000"/>
          <w:sz w:val="22"/>
          <w:szCs w:val="22"/>
        </w:rPr>
      </w:pPr>
      <w:r w:rsidRPr="00371BAC">
        <w:rPr>
          <w:rFonts w:asciiTheme="minorHAnsi" w:hAnsiTheme="minorHAnsi" w:cs="Arial"/>
          <w:color w:val="000000"/>
          <w:sz w:val="22"/>
          <w:szCs w:val="22"/>
        </w:rPr>
        <w:t>9.</w:t>
      </w:r>
      <w:r w:rsidRPr="00371BAC">
        <w:rPr>
          <w:rFonts w:asciiTheme="minorHAnsi" w:hAnsiTheme="minorHAnsi" w:cs="Arial"/>
          <w:color w:val="000000"/>
          <w:sz w:val="22"/>
          <w:szCs w:val="22"/>
        </w:rPr>
        <w:tab/>
        <w:t>An applicant is ineligible for a further grant if the applicant has been convicted of an offence against the FHOG Act or a First Home Owner Grant Act in another jurisdiction.</w:t>
      </w:r>
    </w:p>
    <w:p w:rsidR="00371BAC" w:rsidRPr="00371BAC" w:rsidRDefault="00371BAC" w:rsidP="00371BAC">
      <w:pPr>
        <w:adjustRightInd w:val="0"/>
        <w:ind w:left="1276" w:hanging="425"/>
        <w:rPr>
          <w:rFonts w:asciiTheme="minorHAnsi" w:hAnsiTheme="minorHAnsi" w:cs="Arial"/>
          <w:bCs/>
          <w:sz w:val="22"/>
          <w:szCs w:val="22"/>
          <w:lang w:eastAsia="en-US"/>
        </w:rPr>
      </w:pPr>
    </w:p>
    <w:p w:rsidR="00371BAC" w:rsidRPr="00371BAC" w:rsidRDefault="00371BAC" w:rsidP="00371BAC">
      <w:pPr>
        <w:adjustRightInd w:val="0"/>
        <w:ind w:left="1276" w:hanging="425"/>
        <w:rPr>
          <w:rFonts w:asciiTheme="minorHAnsi" w:hAnsiTheme="minorHAnsi" w:cs="Arial"/>
          <w:bCs/>
          <w:sz w:val="22"/>
          <w:szCs w:val="22"/>
        </w:rPr>
      </w:pPr>
      <w:r w:rsidRPr="00371BAC">
        <w:rPr>
          <w:rFonts w:asciiTheme="minorHAnsi" w:hAnsiTheme="minorHAnsi" w:cs="Arial"/>
          <w:bCs/>
          <w:sz w:val="22"/>
          <w:szCs w:val="22"/>
        </w:rPr>
        <w:t xml:space="preserve">SIGNED </w:t>
      </w:r>
    </w:p>
    <w:p w:rsidR="00371BAC" w:rsidRPr="00371BAC" w:rsidRDefault="00371BAC" w:rsidP="00371BAC">
      <w:pPr>
        <w:adjustRightInd w:val="0"/>
        <w:ind w:left="1276" w:hanging="425"/>
        <w:rPr>
          <w:rFonts w:asciiTheme="minorHAnsi" w:hAnsiTheme="minorHAnsi" w:cs="Arial"/>
          <w:bCs/>
          <w:sz w:val="22"/>
          <w:szCs w:val="22"/>
        </w:rPr>
      </w:pPr>
    </w:p>
    <w:p w:rsidR="00371BAC" w:rsidRPr="00371BAC" w:rsidRDefault="00371BAC" w:rsidP="00371BAC">
      <w:pPr>
        <w:adjustRightInd w:val="0"/>
        <w:ind w:left="1276" w:hanging="425"/>
        <w:outlineLvl w:val="0"/>
        <w:rPr>
          <w:rFonts w:asciiTheme="minorHAnsi" w:hAnsiTheme="minorHAnsi" w:cs="Arial"/>
          <w:bCs/>
          <w:sz w:val="22"/>
          <w:szCs w:val="22"/>
        </w:rPr>
      </w:pPr>
      <w:r w:rsidRPr="00371BAC">
        <w:rPr>
          <w:rFonts w:asciiTheme="minorHAnsi" w:hAnsiTheme="minorHAnsi" w:cs="Arial"/>
          <w:bCs/>
          <w:sz w:val="22"/>
          <w:szCs w:val="22"/>
        </w:rPr>
        <w:t xml:space="preserve">Kim Salisbury </w:t>
      </w:r>
    </w:p>
    <w:p w:rsidR="00371BAC" w:rsidRPr="00371BAC" w:rsidRDefault="00371BAC" w:rsidP="00371BAC">
      <w:pPr>
        <w:adjustRightInd w:val="0"/>
        <w:ind w:left="1276" w:hanging="425"/>
        <w:rPr>
          <w:rFonts w:asciiTheme="minorHAnsi" w:hAnsiTheme="minorHAnsi" w:cs="Arial"/>
          <w:sz w:val="22"/>
          <w:szCs w:val="22"/>
        </w:rPr>
      </w:pPr>
      <w:r w:rsidRPr="00371BAC">
        <w:rPr>
          <w:rFonts w:asciiTheme="minorHAnsi" w:hAnsiTheme="minorHAnsi" w:cs="Arial"/>
          <w:sz w:val="22"/>
          <w:szCs w:val="22"/>
        </w:rPr>
        <w:t>Commissioner for ACT Revenue</w:t>
      </w:r>
    </w:p>
    <w:p w:rsidR="00371BAC" w:rsidRPr="00371BAC" w:rsidRDefault="00371BAC" w:rsidP="00371BAC">
      <w:pPr>
        <w:adjustRightInd w:val="0"/>
        <w:ind w:left="1276" w:hanging="425"/>
        <w:rPr>
          <w:rFonts w:asciiTheme="minorHAnsi" w:hAnsiTheme="minorHAnsi" w:cs="Arial"/>
          <w:sz w:val="22"/>
          <w:szCs w:val="22"/>
        </w:rPr>
      </w:pPr>
      <w:r w:rsidRPr="00371BAC">
        <w:rPr>
          <w:rFonts w:asciiTheme="minorHAnsi" w:hAnsiTheme="minorHAnsi" w:cs="Arial"/>
          <w:sz w:val="22"/>
          <w:szCs w:val="22"/>
        </w:rPr>
        <w:t>7 November 2013</w:t>
      </w:r>
      <w:bookmarkStart w:id="0" w:name="_GoBack"/>
      <w:bookmarkEnd w:id="0"/>
    </w:p>
    <w:p w:rsidR="00371BAC" w:rsidRPr="00371BAC" w:rsidRDefault="00371BAC" w:rsidP="00371BAC">
      <w:pPr>
        <w:adjustRightInd w:val="0"/>
        <w:ind w:left="1276" w:hanging="425"/>
        <w:rPr>
          <w:rFonts w:asciiTheme="minorHAnsi" w:hAnsiTheme="minorHAnsi" w:cs="Arial"/>
          <w:sz w:val="22"/>
          <w:szCs w:val="22"/>
        </w:rPr>
      </w:pPr>
    </w:p>
    <w:p w:rsidR="00A970B8" w:rsidRPr="00F6494D" w:rsidRDefault="00A970B8" w:rsidP="00371BAC">
      <w:pPr>
        <w:widowControl/>
        <w:suppressAutoHyphens w:val="0"/>
        <w:autoSpaceDE/>
        <w:autoSpaceDN/>
        <w:spacing w:before="120" w:after="120"/>
        <w:jc w:val="both"/>
        <w:textAlignment w:val="auto"/>
        <w:rPr>
          <w:rFonts w:asciiTheme="minorHAnsi" w:hAnsiTheme="minorHAnsi" w:cs="Arial"/>
          <w:sz w:val="22"/>
          <w:szCs w:val="22"/>
        </w:rPr>
      </w:pPr>
    </w:p>
    <w:sectPr w:rsidR="00A970B8" w:rsidRPr="00F6494D"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7B1"/>
    <w:multiLevelType w:val="hybridMultilevel"/>
    <w:tmpl w:val="2D42CCB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
    <w:nsid w:val="01E43CE4"/>
    <w:multiLevelType w:val="hybridMultilevel"/>
    <w:tmpl w:val="5FB05B28"/>
    <w:lvl w:ilvl="0" w:tplc="21449D42">
      <w:start w:val="1"/>
      <w:numFmt w:val="lowerRoman"/>
      <w:lvlText w:val="(%1)"/>
      <w:lvlJc w:val="left"/>
      <w:pPr>
        <w:tabs>
          <w:tab w:val="num" w:pos="2778"/>
        </w:tabs>
        <w:ind w:left="2778" w:hanging="720"/>
      </w:pPr>
      <w:rPr>
        <w:rFonts w:cs="Times New Roman"/>
      </w:rPr>
    </w:lvl>
    <w:lvl w:ilvl="1" w:tplc="0C090019">
      <w:start w:val="1"/>
      <w:numFmt w:val="lowerLetter"/>
      <w:lvlText w:val="%2."/>
      <w:lvlJc w:val="left"/>
      <w:pPr>
        <w:tabs>
          <w:tab w:val="num" w:pos="3138"/>
        </w:tabs>
        <w:ind w:left="3138" w:hanging="360"/>
      </w:pPr>
      <w:rPr>
        <w:rFonts w:cs="Times New Roman"/>
      </w:rPr>
    </w:lvl>
    <w:lvl w:ilvl="2" w:tplc="0C09001B">
      <w:start w:val="1"/>
      <w:numFmt w:val="lowerRoman"/>
      <w:lvlText w:val="%3."/>
      <w:lvlJc w:val="right"/>
      <w:pPr>
        <w:tabs>
          <w:tab w:val="num" w:pos="3858"/>
        </w:tabs>
        <w:ind w:left="3858" w:hanging="180"/>
      </w:pPr>
      <w:rPr>
        <w:rFonts w:cs="Times New Roman"/>
      </w:rPr>
    </w:lvl>
    <w:lvl w:ilvl="3" w:tplc="0C09000F">
      <w:start w:val="1"/>
      <w:numFmt w:val="decimal"/>
      <w:lvlText w:val="%4."/>
      <w:lvlJc w:val="left"/>
      <w:pPr>
        <w:tabs>
          <w:tab w:val="num" w:pos="4578"/>
        </w:tabs>
        <w:ind w:left="4578" w:hanging="360"/>
      </w:pPr>
      <w:rPr>
        <w:rFonts w:cs="Times New Roman"/>
      </w:rPr>
    </w:lvl>
    <w:lvl w:ilvl="4" w:tplc="0C090019">
      <w:start w:val="1"/>
      <w:numFmt w:val="lowerLetter"/>
      <w:lvlText w:val="%5."/>
      <w:lvlJc w:val="left"/>
      <w:pPr>
        <w:tabs>
          <w:tab w:val="num" w:pos="5298"/>
        </w:tabs>
        <w:ind w:left="5298" w:hanging="360"/>
      </w:pPr>
      <w:rPr>
        <w:rFonts w:cs="Times New Roman"/>
      </w:rPr>
    </w:lvl>
    <w:lvl w:ilvl="5" w:tplc="0C09001B">
      <w:start w:val="1"/>
      <w:numFmt w:val="lowerRoman"/>
      <w:lvlText w:val="%6."/>
      <w:lvlJc w:val="right"/>
      <w:pPr>
        <w:tabs>
          <w:tab w:val="num" w:pos="6018"/>
        </w:tabs>
        <w:ind w:left="6018" w:hanging="180"/>
      </w:pPr>
      <w:rPr>
        <w:rFonts w:cs="Times New Roman"/>
      </w:rPr>
    </w:lvl>
    <w:lvl w:ilvl="6" w:tplc="0C09000F">
      <w:start w:val="1"/>
      <w:numFmt w:val="decimal"/>
      <w:lvlText w:val="%7."/>
      <w:lvlJc w:val="left"/>
      <w:pPr>
        <w:tabs>
          <w:tab w:val="num" w:pos="6738"/>
        </w:tabs>
        <w:ind w:left="6738" w:hanging="360"/>
      </w:pPr>
      <w:rPr>
        <w:rFonts w:cs="Times New Roman"/>
      </w:rPr>
    </w:lvl>
    <w:lvl w:ilvl="7" w:tplc="0C090019">
      <w:start w:val="1"/>
      <w:numFmt w:val="lowerLetter"/>
      <w:lvlText w:val="%8."/>
      <w:lvlJc w:val="left"/>
      <w:pPr>
        <w:tabs>
          <w:tab w:val="num" w:pos="7458"/>
        </w:tabs>
        <w:ind w:left="7458" w:hanging="360"/>
      </w:pPr>
      <w:rPr>
        <w:rFonts w:cs="Times New Roman"/>
      </w:rPr>
    </w:lvl>
    <w:lvl w:ilvl="8" w:tplc="0C09001B">
      <w:start w:val="1"/>
      <w:numFmt w:val="lowerRoman"/>
      <w:lvlText w:val="%9."/>
      <w:lvlJc w:val="right"/>
      <w:pPr>
        <w:tabs>
          <w:tab w:val="num" w:pos="8178"/>
        </w:tabs>
        <w:ind w:left="8178" w:hanging="180"/>
      </w:pPr>
      <w:rPr>
        <w:rFonts w:cs="Times New Roman"/>
      </w:rPr>
    </w:lvl>
  </w:abstractNum>
  <w:abstractNum w:abstractNumId="2">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0CF1235D"/>
    <w:multiLevelType w:val="hybridMultilevel"/>
    <w:tmpl w:val="31923C6C"/>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cs="Times New Roman"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cs="Times New Roman"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cs="Times New Roman" w:hint="default"/>
      </w:rPr>
    </w:lvl>
    <w:lvl w:ilvl="8" w:tplc="0C090005">
      <w:start w:val="1"/>
      <w:numFmt w:val="bullet"/>
      <w:lvlText w:val=""/>
      <w:lvlJc w:val="left"/>
      <w:pPr>
        <w:tabs>
          <w:tab w:val="num" w:pos="6917"/>
        </w:tabs>
        <w:ind w:left="6917" w:hanging="360"/>
      </w:pPr>
      <w:rPr>
        <w:rFonts w:ascii="Wingdings" w:hAnsi="Wingdings" w:hint="default"/>
      </w:rPr>
    </w:lvl>
  </w:abstractNum>
  <w:abstractNum w:abstractNumId="4">
    <w:nsid w:val="16917402"/>
    <w:multiLevelType w:val="hybridMultilevel"/>
    <w:tmpl w:val="6018E6E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5">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6">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18D25ED2"/>
    <w:multiLevelType w:val="hybridMultilevel"/>
    <w:tmpl w:val="CE88F45C"/>
    <w:lvl w:ilvl="0" w:tplc="A2C03218">
      <w:start w:val="1"/>
      <w:numFmt w:val="decimal"/>
      <w:lvlText w:val="%1."/>
      <w:lvlJc w:val="left"/>
      <w:pPr>
        <w:tabs>
          <w:tab w:val="num" w:pos="680"/>
        </w:tabs>
        <w:ind w:left="72" w:hanging="72"/>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8">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9">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0">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1">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12">
    <w:nsid w:val="1F18069C"/>
    <w:multiLevelType w:val="hybridMultilevel"/>
    <w:tmpl w:val="9C0CF6D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3">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4">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6">
    <w:nsid w:val="2A1D503D"/>
    <w:multiLevelType w:val="hybridMultilevel"/>
    <w:tmpl w:val="E7ECFAF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7">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2FC72096"/>
    <w:multiLevelType w:val="hybridMultilevel"/>
    <w:tmpl w:val="CAF48F9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24">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70B121B"/>
    <w:multiLevelType w:val="hybridMultilevel"/>
    <w:tmpl w:val="705844D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8">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9">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30">
    <w:nsid w:val="63F87511"/>
    <w:multiLevelType w:val="hybridMultilevel"/>
    <w:tmpl w:val="A072C0A2"/>
    <w:lvl w:ilvl="0" w:tplc="A2C03218">
      <w:start w:val="1"/>
      <w:numFmt w:val="decimal"/>
      <w:lvlText w:val="%1."/>
      <w:lvlJc w:val="left"/>
      <w:pPr>
        <w:tabs>
          <w:tab w:val="num" w:pos="680"/>
        </w:tabs>
        <w:ind w:left="72" w:hanging="72"/>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6CFC3BE3"/>
    <w:multiLevelType w:val="hybridMultilevel"/>
    <w:tmpl w:val="4DAE6F5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2">
    <w:nsid w:val="74D60113"/>
    <w:multiLevelType w:val="hybridMultilevel"/>
    <w:tmpl w:val="A6E40AE6"/>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3">
    <w:nsid w:val="75BE42BF"/>
    <w:multiLevelType w:val="hybridMultilevel"/>
    <w:tmpl w:val="9590568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4">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35">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36">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21"/>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3"/>
  </w:num>
  <w:num w:numId="13">
    <w:abstractNumId w:val="28"/>
  </w:num>
  <w:num w:numId="14">
    <w:abstractNumId w:val="2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6"/>
  </w:num>
  <w:num w:numId="18">
    <w:abstractNumId w:val="9"/>
  </w:num>
  <w:num w:numId="19">
    <w:abstractNumId w:val="17"/>
  </w:num>
  <w:num w:numId="20">
    <w:abstractNumId w:val="23"/>
  </w:num>
  <w:num w:numId="21">
    <w:abstractNumId w:val="22"/>
  </w:num>
  <w:num w:numId="22">
    <w:abstractNumId w:val="35"/>
  </w:num>
  <w:num w:numId="23">
    <w:abstractNumId w:val="15"/>
  </w:num>
  <w:num w:numId="24">
    <w:abstractNumId w:val="18"/>
  </w:num>
  <w:num w:numId="25">
    <w:abstractNumId w:val="5"/>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395"/>
    <w:rsid w:val="00310E54"/>
    <w:rsid w:val="00333957"/>
    <w:rsid w:val="00371BAC"/>
    <w:rsid w:val="00391CB7"/>
    <w:rsid w:val="004B47E0"/>
    <w:rsid w:val="00550052"/>
    <w:rsid w:val="005B0828"/>
    <w:rsid w:val="00694F3B"/>
    <w:rsid w:val="006B0ECA"/>
    <w:rsid w:val="006B2035"/>
    <w:rsid w:val="006C2FF7"/>
    <w:rsid w:val="00712A2B"/>
    <w:rsid w:val="0078298B"/>
    <w:rsid w:val="00822F9C"/>
    <w:rsid w:val="00832AA4"/>
    <w:rsid w:val="00874AC9"/>
    <w:rsid w:val="008B1CDE"/>
    <w:rsid w:val="008D3324"/>
    <w:rsid w:val="009062F9"/>
    <w:rsid w:val="0096709E"/>
    <w:rsid w:val="009939A8"/>
    <w:rsid w:val="009948F0"/>
    <w:rsid w:val="009F4EF5"/>
    <w:rsid w:val="009F5034"/>
    <w:rsid w:val="00A812EA"/>
    <w:rsid w:val="00A970B8"/>
    <w:rsid w:val="00AD4741"/>
    <w:rsid w:val="00AF7801"/>
    <w:rsid w:val="00BA4E72"/>
    <w:rsid w:val="00BB7D19"/>
    <w:rsid w:val="00BE0B6D"/>
    <w:rsid w:val="00BF64D2"/>
    <w:rsid w:val="00C24521"/>
    <w:rsid w:val="00C82405"/>
    <w:rsid w:val="00C8554F"/>
    <w:rsid w:val="00CD0ACD"/>
    <w:rsid w:val="00CD6913"/>
    <w:rsid w:val="00CF089B"/>
    <w:rsid w:val="00CF5275"/>
    <w:rsid w:val="00D20092"/>
    <w:rsid w:val="00D37A7F"/>
    <w:rsid w:val="00D908F9"/>
    <w:rsid w:val="00DA0B26"/>
    <w:rsid w:val="00DA6ED5"/>
    <w:rsid w:val="00E221BD"/>
    <w:rsid w:val="00E23EE7"/>
    <w:rsid w:val="00E81FA3"/>
    <w:rsid w:val="00E922DA"/>
    <w:rsid w:val="00E93D0A"/>
    <w:rsid w:val="00EB4F51"/>
    <w:rsid w:val="00EB74B1"/>
    <w:rsid w:val="00F10DB5"/>
    <w:rsid w:val="00F44A8D"/>
    <w:rsid w:val="00F6494D"/>
    <w:rsid w:val="00FC6160"/>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386830">
      <w:bodyDiv w:val="1"/>
      <w:marLeft w:val="0"/>
      <w:marRight w:val="0"/>
      <w:marTop w:val="0"/>
      <w:marBottom w:val="0"/>
      <w:divBdr>
        <w:top w:val="none" w:sz="0" w:space="0" w:color="auto"/>
        <w:left w:val="none" w:sz="0" w:space="0" w:color="auto"/>
        <w:bottom w:val="none" w:sz="0" w:space="0" w:color="auto"/>
        <w:right w:val="none" w:sz="0" w:space="0" w:color="auto"/>
      </w:divBdr>
    </w:div>
    <w:div w:id="183326690">
      <w:bodyDiv w:val="1"/>
      <w:marLeft w:val="0"/>
      <w:marRight w:val="0"/>
      <w:marTop w:val="0"/>
      <w:marBottom w:val="0"/>
      <w:divBdr>
        <w:top w:val="none" w:sz="0" w:space="0" w:color="auto"/>
        <w:left w:val="none" w:sz="0" w:space="0" w:color="auto"/>
        <w:bottom w:val="none" w:sz="0" w:space="0" w:color="auto"/>
        <w:right w:val="none" w:sz="0" w:space="0" w:color="auto"/>
      </w:divBdr>
    </w:div>
    <w:div w:id="413287734">
      <w:bodyDiv w:val="1"/>
      <w:marLeft w:val="0"/>
      <w:marRight w:val="0"/>
      <w:marTop w:val="0"/>
      <w:marBottom w:val="0"/>
      <w:divBdr>
        <w:top w:val="none" w:sz="0" w:space="0" w:color="auto"/>
        <w:left w:val="none" w:sz="0" w:space="0" w:color="auto"/>
        <w:bottom w:val="none" w:sz="0" w:space="0" w:color="auto"/>
        <w:right w:val="none" w:sz="0" w:space="0" w:color="auto"/>
      </w:divBdr>
    </w:div>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453644176">
      <w:bodyDiv w:val="1"/>
      <w:marLeft w:val="0"/>
      <w:marRight w:val="0"/>
      <w:marTop w:val="0"/>
      <w:marBottom w:val="0"/>
      <w:divBdr>
        <w:top w:val="none" w:sz="0" w:space="0" w:color="auto"/>
        <w:left w:val="none" w:sz="0" w:space="0" w:color="auto"/>
        <w:bottom w:val="none" w:sz="0" w:space="0" w:color="auto"/>
        <w:right w:val="none" w:sz="0" w:space="0" w:color="auto"/>
      </w:divBdr>
    </w:div>
    <w:div w:id="649403573">
      <w:bodyDiv w:val="1"/>
      <w:marLeft w:val="0"/>
      <w:marRight w:val="0"/>
      <w:marTop w:val="0"/>
      <w:marBottom w:val="0"/>
      <w:divBdr>
        <w:top w:val="none" w:sz="0" w:space="0" w:color="auto"/>
        <w:left w:val="none" w:sz="0" w:space="0" w:color="auto"/>
        <w:bottom w:val="none" w:sz="0" w:space="0" w:color="auto"/>
        <w:right w:val="none" w:sz="0" w:space="0" w:color="auto"/>
      </w:divBdr>
    </w:div>
    <w:div w:id="669603899">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17581545">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02996106">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enue.act.gov.a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251ED-6A68-4CD0-B6A0-3CE17FA5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2017-05-28T09:55:00Z</dcterms:created>
  <dcterms:modified xsi:type="dcterms:W3CDTF">2017-06-09T03:49:00Z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