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A" w:rsidRDefault="00EE3311" w:rsidP="008F612A">
      <w:pPr>
        <w:pStyle w:val="BodyText"/>
        <w:overflowPunct w:val="0"/>
        <w:ind w:left="-142" w:right="-142"/>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v:textbox>
          </v:rect>
        </w:pic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3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9516"/>
      </w:tblGrid>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E81FA3">
            <w:pPr>
              <w:jc w:val="both"/>
              <w:rPr>
                <w:b/>
                <w:lang w:eastAsia="en-US"/>
              </w:rPr>
            </w:pPr>
            <w:r>
              <w:rPr>
                <w:b/>
                <w:lang w:eastAsia="en-US"/>
              </w:rPr>
              <w:t xml:space="preserve">REVENUE CIRCULAR </w:t>
            </w:r>
            <w:r w:rsidR="00D37A7F">
              <w:rPr>
                <w:b/>
                <w:lang w:eastAsia="en-US"/>
              </w:rPr>
              <w:t>DAA010.2</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D37A7F" w:rsidP="00CF5275">
            <w:pPr>
              <w:jc w:val="both"/>
              <w:rPr>
                <w:lang w:eastAsia="en-US"/>
              </w:rPr>
            </w:pPr>
            <w:r>
              <w:rPr>
                <w:lang w:eastAsia="en-US"/>
              </w:rPr>
              <w:t>Evidence of Value</w:t>
            </w:r>
            <w:r w:rsidR="00CF5275">
              <w:rPr>
                <w:lang w:eastAsia="en-US"/>
              </w:rPr>
              <w:t xml:space="preserve"> - </w:t>
            </w:r>
            <w:r w:rsidR="00E81FA3" w:rsidRPr="00E81FA3">
              <w:rPr>
                <w:i/>
                <w:lang w:eastAsia="en-US"/>
              </w:rPr>
              <w:t>Duties Act 1999</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1C02E7">
            <w:pPr>
              <w:jc w:val="both"/>
              <w:rPr>
                <w:lang w:eastAsia="en-US"/>
              </w:rPr>
            </w:pPr>
            <w:r>
              <w:rPr>
                <w:lang w:eastAsia="en-US"/>
              </w:rPr>
              <w:t xml:space="preserve">Issue Date: </w:t>
            </w:r>
            <w:r w:rsidR="001C02E7">
              <w:rPr>
                <w:lang w:eastAsia="en-US"/>
              </w:rPr>
              <w:t>7 August 2015</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1C02E7">
            <w:pPr>
              <w:jc w:val="both"/>
            </w:pPr>
            <w:r>
              <w:t>Status: Current</w:t>
            </w:r>
            <w:r w:rsidR="00BB7D19">
              <w:t xml:space="preserve"> – Effective </w:t>
            </w:r>
            <w:r w:rsidR="001C02E7">
              <w:t>7 August</w:t>
            </w:r>
            <w:r w:rsidR="00A970B8">
              <w:t xml:space="preserve"> 201</w:t>
            </w:r>
            <w:r w:rsidR="00CF5275">
              <w:t>5</w:t>
            </w:r>
          </w:p>
        </w:tc>
      </w:tr>
      <w:tr w:rsidR="00310E54"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A970B8">
            <w:pPr>
              <w:jc w:val="both"/>
            </w:pPr>
            <w:r>
              <w:t xml:space="preserve">Previous Circular: </w:t>
            </w:r>
            <w:r w:rsidR="00E81FA3">
              <w:t>D</w:t>
            </w:r>
            <w:r w:rsidR="001C02E7">
              <w:t>AA010.2</w:t>
            </w:r>
          </w:p>
        </w:tc>
      </w:tr>
    </w:tbl>
    <w:p w:rsidR="00F44A8D" w:rsidRPr="00AD4741" w:rsidRDefault="00BB7D19" w:rsidP="00E81FA3">
      <w:pPr>
        <w:pStyle w:val="Heading1"/>
        <w:spacing w:before="60" w:after="60" w:line="240" w:lineRule="auto"/>
        <w:ind w:left="1701" w:hanging="567"/>
        <w:jc w:val="both"/>
      </w:pPr>
      <w:r>
        <w:t>Preamble</w:t>
      </w:r>
    </w:p>
    <w:p w:rsidR="001C02E7" w:rsidRPr="001C02E7" w:rsidRDefault="001C02E7" w:rsidP="001C02E7">
      <w:pPr>
        <w:widowControl/>
        <w:numPr>
          <w:ilvl w:val="0"/>
          <w:numId w:val="7"/>
        </w:numPr>
        <w:shd w:val="clear" w:color="auto" w:fill="FFFFFF"/>
        <w:tabs>
          <w:tab w:val="clear" w:pos="454"/>
        </w:tabs>
        <w:suppressAutoHyphens w:val="0"/>
        <w:autoSpaceDE/>
        <w:autoSpaceDN/>
        <w:spacing w:before="120" w:after="120"/>
        <w:ind w:left="1560" w:hanging="426"/>
        <w:jc w:val="both"/>
        <w:textAlignment w:val="auto"/>
        <w:rPr>
          <w:rFonts w:asciiTheme="minorHAnsi" w:hAnsiTheme="minorHAnsi" w:cs="Arial"/>
        </w:rPr>
      </w:pPr>
      <w:r w:rsidRPr="001C02E7">
        <w:rPr>
          <w:rFonts w:asciiTheme="minorHAnsi" w:hAnsiTheme="minorHAnsi" w:cs="Arial"/>
        </w:rPr>
        <w:t xml:space="preserve">Chapter 2 of the </w:t>
      </w:r>
      <w:r w:rsidRPr="001C02E7">
        <w:rPr>
          <w:rFonts w:asciiTheme="minorHAnsi" w:hAnsiTheme="minorHAnsi" w:cs="Arial"/>
          <w:i/>
          <w:iCs/>
        </w:rPr>
        <w:t>Duties Act 1999</w:t>
      </w:r>
      <w:r w:rsidRPr="001C02E7">
        <w:rPr>
          <w:rFonts w:asciiTheme="minorHAnsi" w:hAnsiTheme="minorHAnsi" w:cs="Arial"/>
        </w:rPr>
        <w:t xml:space="preserve"> (the Act) imposes duty on specified transactions.  </w:t>
      </w:r>
    </w:p>
    <w:p w:rsidR="001C02E7" w:rsidRPr="001C02E7" w:rsidRDefault="001C02E7" w:rsidP="001C02E7">
      <w:pPr>
        <w:widowControl/>
        <w:numPr>
          <w:ilvl w:val="0"/>
          <w:numId w:val="7"/>
        </w:numPr>
        <w:shd w:val="clear" w:color="auto" w:fill="FFFFFF"/>
        <w:tabs>
          <w:tab w:val="clear" w:pos="454"/>
        </w:tabs>
        <w:suppressAutoHyphens w:val="0"/>
        <w:autoSpaceDE/>
        <w:autoSpaceDN/>
        <w:spacing w:before="120" w:after="120"/>
        <w:ind w:left="1560" w:hanging="426"/>
        <w:jc w:val="both"/>
        <w:textAlignment w:val="auto"/>
        <w:rPr>
          <w:rFonts w:asciiTheme="minorHAnsi" w:hAnsiTheme="minorHAnsi" w:cs="Arial"/>
        </w:rPr>
      </w:pPr>
      <w:r w:rsidRPr="001C02E7">
        <w:rPr>
          <w:rFonts w:asciiTheme="minorHAnsi" w:hAnsiTheme="minorHAnsi" w:cs="Arial"/>
        </w:rPr>
        <w:t>Duty is charged on the dutiable value of dutiable property subject to the dutiable transaction.</w:t>
      </w:r>
    </w:p>
    <w:p w:rsidR="001C02E7" w:rsidRPr="001C02E7" w:rsidRDefault="001C02E7" w:rsidP="001C02E7">
      <w:pPr>
        <w:widowControl/>
        <w:numPr>
          <w:ilvl w:val="0"/>
          <w:numId w:val="7"/>
        </w:numPr>
        <w:shd w:val="clear" w:color="auto" w:fill="FFFFFF"/>
        <w:tabs>
          <w:tab w:val="clear" w:pos="454"/>
        </w:tabs>
        <w:suppressAutoHyphens w:val="0"/>
        <w:autoSpaceDE/>
        <w:autoSpaceDN/>
        <w:spacing w:before="120" w:after="120"/>
        <w:ind w:left="1560" w:hanging="426"/>
        <w:jc w:val="both"/>
        <w:textAlignment w:val="auto"/>
        <w:rPr>
          <w:rFonts w:asciiTheme="minorHAnsi" w:hAnsiTheme="minorHAnsi" w:cs="Arial"/>
        </w:rPr>
      </w:pPr>
      <w:r w:rsidRPr="001C02E7">
        <w:rPr>
          <w:rFonts w:asciiTheme="minorHAnsi" w:hAnsiTheme="minorHAnsi" w:cs="Arial"/>
        </w:rPr>
        <w:t>In general, the dutiable value of dutiable property (section 20 of the Act) is the consideration for the dutiable transaction (section 21 of the Act) or the unencumbered value of the dutiable property (section 22 of the Act), whichever is the greater.</w:t>
      </w:r>
    </w:p>
    <w:p w:rsidR="001C02E7" w:rsidRPr="001C02E7" w:rsidRDefault="001C02E7" w:rsidP="001C02E7">
      <w:pPr>
        <w:widowControl/>
        <w:numPr>
          <w:ilvl w:val="0"/>
          <w:numId w:val="7"/>
        </w:numPr>
        <w:shd w:val="clear" w:color="auto" w:fill="FFFFFF"/>
        <w:tabs>
          <w:tab w:val="clear" w:pos="454"/>
        </w:tabs>
        <w:suppressAutoHyphens w:val="0"/>
        <w:autoSpaceDE/>
        <w:autoSpaceDN/>
        <w:spacing w:before="120"/>
        <w:ind w:left="1560" w:hanging="426"/>
        <w:jc w:val="both"/>
        <w:textAlignment w:val="auto"/>
        <w:rPr>
          <w:rFonts w:asciiTheme="minorHAnsi" w:hAnsiTheme="minorHAnsi" w:cs="Arial"/>
        </w:rPr>
      </w:pPr>
      <w:r w:rsidRPr="001C02E7">
        <w:rPr>
          <w:rFonts w:asciiTheme="minorHAnsi" w:hAnsiTheme="minorHAnsi" w:cs="Arial"/>
        </w:rPr>
        <w:t xml:space="preserve">Section 22 of the Act states that the unencumbered value of a Crown lease at the time it is granted is, for Chapter 2, taken to be the amount determined by the granting body to be that value. If the Commissioner for ACT Revenue (the Commissioner) is not satisfied with the provided value, or if no value is provided by the granting body, the Commissioner may obtain a valuation and determine the unencumbered value of the lease in accordance with the valuation. The cost of obtaining the valuation can be recovered from the lessee, unless it is not more than the value provided by the granting body. </w:t>
      </w:r>
    </w:p>
    <w:p w:rsidR="001C02E7" w:rsidRPr="001C02E7" w:rsidRDefault="001C02E7" w:rsidP="001C02E7">
      <w:pPr>
        <w:widowControl/>
        <w:numPr>
          <w:ilvl w:val="0"/>
          <w:numId w:val="7"/>
        </w:numPr>
        <w:shd w:val="clear" w:color="auto" w:fill="FFFFFF"/>
        <w:tabs>
          <w:tab w:val="clear" w:pos="454"/>
        </w:tabs>
        <w:suppressAutoHyphens w:val="0"/>
        <w:autoSpaceDE/>
        <w:autoSpaceDN/>
        <w:spacing w:before="120" w:after="60"/>
        <w:ind w:left="1560" w:hanging="426"/>
        <w:jc w:val="both"/>
        <w:textAlignment w:val="auto"/>
        <w:rPr>
          <w:rFonts w:asciiTheme="minorHAnsi" w:hAnsiTheme="minorHAnsi" w:cs="Arial"/>
        </w:rPr>
      </w:pPr>
      <w:r w:rsidRPr="001C02E7">
        <w:rPr>
          <w:rFonts w:asciiTheme="minorHAnsi" w:hAnsiTheme="minorHAnsi" w:cs="Arial"/>
        </w:rPr>
        <w:t>Under Chapter 12 of the Act (section 251), the Commissioner is authorised to require a person to provide a declaration by a competent valuer of the value (unencumbered or otherwise) of the dutiable property, or such other evidence of that value a</w:t>
      </w:r>
      <w:r>
        <w:rPr>
          <w:rFonts w:asciiTheme="minorHAnsi" w:hAnsiTheme="minorHAnsi" w:cs="Arial"/>
        </w:rPr>
        <w:t xml:space="preserve">s the Commissioner thinks fit. </w:t>
      </w:r>
      <w:r w:rsidRPr="001C02E7">
        <w:rPr>
          <w:rFonts w:asciiTheme="minorHAnsi" w:hAnsiTheme="minorHAnsi" w:cs="Arial"/>
        </w:rPr>
        <w:t>This also applies to the assessment of market rent for a commercial lease with premium (section 251A).  Where the valuation is undertaken by the ACT Revenue Office, the cost of obtaining that valuation is recoverable from the person liable to pay the duty.</w:t>
      </w:r>
    </w:p>
    <w:p w:rsidR="00E81FA3" w:rsidRDefault="00F44A8D" w:rsidP="001C02E7">
      <w:pPr>
        <w:pStyle w:val="Heading1"/>
        <w:spacing w:before="0" w:line="240" w:lineRule="auto"/>
        <w:ind w:left="1134" w:firstLine="0"/>
        <w:jc w:val="both"/>
        <w:rPr>
          <w:rFonts w:asciiTheme="minorHAnsi" w:hAnsiTheme="minorHAnsi"/>
        </w:rPr>
      </w:pPr>
      <w:r w:rsidRPr="00AD4741">
        <w:rPr>
          <w:rFonts w:asciiTheme="minorHAnsi" w:hAnsiTheme="minorHAnsi"/>
        </w:rPr>
        <w:t>Circular</w:t>
      </w:r>
    </w:p>
    <w:p w:rsidR="00CF5275" w:rsidRDefault="00CF5275" w:rsidP="00CF5275">
      <w:pPr>
        <w:pStyle w:val="Heading2"/>
        <w:spacing w:before="0"/>
        <w:ind w:left="1134" w:firstLine="0"/>
      </w:pPr>
      <w:r>
        <w:t>Access Canberra</w:t>
      </w:r>
    </w:p>
    <w:p w:rsidR="001C02E7" w:rsidRPr="001C02E7" w:rsidRDefault="001C02E7" w:rsidP="001C02E7">
      <w:pPr>
        <w:widowControl/>
        <w:numPr>
          <w:ilvl w:val="0"/>
          <w:numId w:val="7"/>
        </w:numPr>
        <w:shd w:val="clear" w:color="auto" w:fill="FFFFFF"/>
        <w:tabs>
          <w:tab w:val="clear" w:pos="454"/>
        </w:tabs>
        <w:suppressAutoHyphens w:val="0"/>
        <w:autoSpaceDE/>
        <w:autoSpaceDN/>
        <w:spacing w:before="60" w:after="120"/>
        <w:ind w:left="1560" w:hanging="426"/>
        <w:jc w:val="both"/>
        <w:textAlignment w:val="auto"/>
        <w:rPr>
          <w:rFonts w:asciiTheme="minorHAnsi" w:hAnsiTheme="minorHAnsi" w:cs="Arial"/>
        </w:rPr>
      </w:pPr>
      <w:r w:rsidRPr="001C02E7">
        <w:rPr>
          <w:rFonts w:asciiTheme="minorHAnsi" w:hAnsiTheme="minorHAnsi" w:cs="Arial"/>
        </w:rPr>
        <w:t>This circular clarifies the valuation requirements for determining the dutiable value of dutiable property. It also sets out guidelines on when evidence of value will be required, and the type of evidence of value acceptable to the Commissioner.</w:t>
      </w:r>
    </w:p>
    <w:p w:rsidR="001C02E7" w:rsidRPr="001C02E7" w:rsidRDefault="001C02E7" w:rsidP="001C02E7">
      <w:pPr>
        <w:widowControl/>
        <w:numPr>
          <w:ilvl w:val="0"/>
          <w:numId w:val="7"/>
        </w:numPr>
        <w:shd w:val="clear" w:color="auto" w:fill="FFFFFF"/>
        <w:tabs>
          <w:tab w:val="clear" w:pos="454"/>
        </w:tabs>
        <w:suppressAutoHyphens w:val="0"/>
        <w:autoSpaceDE/>
        <w:autoSpaceDN/>
        <w:spacing w:before="240" w:after="120"/>
        <w:ind w:left="1560" w:hanging="426"/>
        <w:jc w:val="both"/>
        <w:textAlignment w:val="auto"/>
        <w:rPr>
          <w:rFonts w:asciiTheme="minorHAnsi" w:hAnsiTheme="minorHAnsi" w:cs="Arial"/>
          <w:lang w:eastAsia="en-US"/>
        </w:rPr>
      </w:pPr>
      <w:r w:rsidRPr="001C02E7">
        <w:rPr>
          <w:rFonts w:asciiTheme="minorHAnsi" w:hAnsiTheme="minorHAnsi" w:cs="Arial"/>
        </w:rPr>
        <w:t xml:space="preserve">A land rent lease (see </w:t>
      </w:r>
      <w:r w:rsidRPr="001C02E7">
        <w:rPr>
          <w:rFonts w:asciiTheme="minorHAnsi" w:hAnsiTheme="minorHAnsi" w:cs="Arial"/>
          <w:i/>
        </w:rPr>
        <w:t>Land Rent Act 2008</w:t>
      </w:r>
      <w:r w:rsidRPr="001C02E7">
        <w:rPr>
          <w:rFonts w:asciiTheme="minorHAnsi" w:hAnsiTheme="minorHAnsi" w:cs="Arial"/>
        </w:rPr>
        <w:t>) is treated the same as any other Crown lease for the purposes of the Act. The dutiable value of a land rent lease is the amount that would be the unencumbered value of the lease, if it were a nominal Crown lease and not a land rent lease (section 20 (1) (b) (</w:t>
      </w:r>
      <w:proofErr w:type="spellStart"/>
      <w:r w:rsidRPr="001C02E7">
        <w:rPr>
          <w:rFonts w:asciiTheme="minorHAnsi" w:hAnsiTheme="minorHAnsi" w:cs="Arial"/>
        </w:rPr>
        <w:t>i</w:t>
      </w:r>
      <w:proofErr w:type="spellEnd"/>
      <w:r w:rsidRPr="001C02E7">
        <w:rPr>
          <w:rFonts w:asciiTheme="minorHAnsi" w:hAnsiTheme="minorHAnsi" w:cs="Arial"/>
        </w:rPr>
        <w:t xml:space="preserve">)).  </w:t>
      </w:r>
    </w:p>
    <w:p w:rsidR="00F44A8D" w:rsidRDefault="00F44A8D" w:rsidP="00E81FA3">
      <w:pPr>
        <w:pStyle w:val="Heading2"/>
        <w:ind w:left="1134" w:firstLine="0"/>
        <w:jc w:val="both"/>
      </w:pPr>
    </w:p>
    <w:p w:rsidR="00F44A8D" w:rsidRDefault="00F44A8D" w:rsidP="00AD4741">
      <w:pPr>
        <w:pStyle w:val="Heading2"/>
        <w:ind w:left="1701"/>
        <w:jc w:val="both"/>
        <w:sectPr w:rsidR="00F44A8D" w:rsidSect="008F612A">
          <w:headerReference w:type="default" r:id="rId9"/>
          <w:footerReference w:type="default" r:id="rId10"/>
          <w:footerReference w:type="first" r:id="rId11"/>
          <w:pgSz w:w="11910" w:h="16840" w:code="9"/>
          <w:pgMar w:top="-9" w:right="1137" w:bottom="567" w:left="0" w:header="0" w:footer="318" w:gutter="0"/>
          <w:cols w:space="720"/>
          <w:titlePg/>
          <w:docGrid w:linePitch="326"/>
        </w:sectPr>
      </w:pPr>
    </w:p>
    <w:p w:rsidR="001C02E7" w:rsidRPr="001C02E7" w:rsidRDefault="001C02E7" w:rsidP="001C02E7">
      <w:pPr>
        <w:widowControl/>
        <w:numPr>
          <w:ilvl w:val="0"/>
          <w:numId w:val="7"/>
        </w:numPr>
        <w:tabs>
          <w:tab w:val="clear" w:pos="454"/>
          <w:tab w:val="num" w:pos="1276"/>
        </w:tabs>
        <w:suppressAutoHyphens w:val="0"/>
        <w:adjustRightInd w:val="0"/>
        <w:spacing w:before="120" w:after="120"/>
        <w:ind w:left="1276" w:hanging="425"/>
        <w:jc w:val="both"/>
        <w:textAlignment w:val="auto"/>
        <w:rPr>
          <w:rFonts w:asciiTheme="minorHAnsi" w:hAnsiTheme="minorHAnsi" w:cs="Arial"/>
        </w:rPr>
      </w:pPr>
      <w:r w:rsidRPr="001C02E7">
        <w:rPr>
          <w:rFonts w:asciiTheme="minorHAnsi" w:hAnsiTheme="minorHAnsi" w:cs="Arial"/>
        </w:rPr>
        <w:lastRenderedPageBreak/>
        <w:t>For the transfer of a commercial lease with premium, the dutiable value of the dutiable transaction is the amount of the premium paid for the lease; if the premium is other than rent reserved and exceeds the amount determined by the Commissioner. However, if a lease is granted for more than one purpos</w:t>
      </w:r>
      <w:bookmarkStart w:id="0" w:name="_GoBack"/>
      <w:r w:rsidRPr="001C02E7">
        <w:rPr>
          <w:rFonts w:asciiTheme="minorHAnsi" w:hAnsiTheme="minorHAnsi" w:cs="Arial"/>
        </w:rPr>
        <w:t>e</w:t>
      </w:r>
      <w:bookmarkEnd w:id="0"/>
      <w:r w:rsidRPr="001C02E7">
        <w:rPr>
          <w:rFonts w:asciiTheme="minorHAnsi" w:hAnsiTheme="minorHAnsi" w:cs="Arial"/>
        </w:rPr>
        <w:t xml:space="preserve"> including commercial purposes, the dutiable value is the percentage of the premium paid that relates to the land, the subject of the lease that may be used for commercial purposes.</w:t>
      </w:r>
    </w:p>
    <w:p w:rsidR="001C02E7" w:rsidRPr="001C02E7" w:rsidRDefault="001C02E7" w:rsidP="001C02E7">
      <w:pPr>
        <w:adjustRightInd w:val="0"/>
        <w:spacing w:before="60" w:after="60"/>
        <w:ind w:left="851"/>
        <w:rPr>
          <w:rFonts w:asciiTheme="minorHAnsi" w:hAnsiTheme="minorHAnsi" w:cs="Arial"/>
          <w:b/>
          <w:bCs/>
          <w:iCs/>
          <w:u w:val="single"/>
        </w:rPr>
      </w:pPr>
      <w:r w:rsidRPr="001C02E7">
        <w:rPr>
          <w:rFonts w:asciiTheme="minorHAnsi" w:hAnsiTheme="minorHAnsi" w:cs="Arial"/>
          <w:b/>
          <w:bCs/>
          <w:iCs/>
          <w:u w:val="single"/>
        </w:rPr>
        <w:t>When evidence of value will be required</w:t>
      </w:r>
    </w:p>
    <w:p w:rsidR="001C02E7" w:rsidRPr="001C02E7" w:rsidRDefault="001C02E7" w:rsidP="001C02E7">
      <w:pPr>
        <w:widowControl/>
        <w:numPr>
          <w:ilvl w:val="0"/>
          <w:numId w:val="7"/>
        </w:numPr>
        <w:shd w:val="clear" w:color="auto" w:fill="FFFFFF"/>
        <w:tabs>
          <w:tab w:val="clear" w:pos="454"/>
        </w:tabs>
        <w:suppressAutoHyphens w:val="0"/>
        <w:autoSpaceDE/>
        <w:autoSpaceDN/>
        <w:spacing w:before="120" w:after="120"/>
        <w:ind w:left="1276" w:hanging="425"/>
        <w:jc w:val="both"/>
        <w:textAlignment w:val="auto"/>
        <w:rPr>
          <w:rFonts w:asciiTheme="minorHAnsi" w:hAnsiTheme="minorHAnsi" w:cs="Arial"/>
        </w:rPr>
      </w:pPr>
      <w:r w:rsidRPr="001C02E7">
        <w:rPr>
          <w:rFonts w:asciiTheme="minorHAnsi" w:hAnsiTheme="minorHAnsi" w:cs="Arial"/>
        </w:rPr>
        <w:t>An important factor in determining the dutiable value of dutiable property is whether the parties are dealing with each other at arm’s length.  The relationship between parties is relevant, since related or associated parties may not act severally and independently in forming an agreement in the same manner as arm’s length parties would normally do.</w:t>
      </w:r>
    </w:p>
    <w:p w:rsidR="001C02E7" w:rsidRPr="001C02E7" w:rsidRDefault="001C02E7" w:rsidP="001C02E7">
      <w:pPr>
        <w:widowControl/>
        <w:numPr>
          <w:ilvl w:val="0"/>
          <w:numId w:val="7"/>
        </w:numPr>
        <w:shd w:val="clear" w:color="auto" w:fill="FFFFFF"/>
        <w:tabs>
          <w:tab w:val="clear" w:pos="454"/>
        </w:tabs>
        <w:suppressAutoHyphens w:val="0"/>
        <w:autoSpaceDE/>
        <w:autoSpaceDN/>
        <w:spacing w:before="120" w:after="120"/>
        <w:ind w:left="1276" w:hanging="425"/>
        <w:textAlignment w:val="auto"/>
        <w:rPr>
          <w:rFonts w:asciiTheme="minorHAnsi" w:hAnsiTheme="minorHAnsi" w:cs="Arial"/>
        </w:rPr>
      </w:pPr>
      <w:r w:rsidRPr="001C02E7">
        <w:rPr>
          <w:rFonts w:asciiTheme="minorHAnsi" w:hAnsiTheme="minorHAnsi" w:cs="Arial"/>
        </w:rPr>
        <w:t>Evidence of value will be required when:</w:t>
      </w:r>
    </w:p>
    <w:p w:rsidR="001C02E7" w:rsidRPr="001C02E7" w:rsidRDefault="001C02E7" w:rsidP="001C02E7">
      <w:pPr>
        <w:widowControl/>
        <w:numPr>
          <w:ilvl w:val="0"/>
          <w:numId w:val="8"/>
        </w:numPr>
        <w:tabs>
          <w:tab w:val="clear" w:pos="1800"/>
        </w:tabs>
        <w:suppressAutoHyphens w:val="0"/>
        <w:adjustRightInd w:val="0"/>
        <w:spacing w:before="120"/>
        <w:ind w:left="1985" w:hanging="567"/>
        <w:jc w:val="both"/>
        <w:textAlignment w:val="auto"/>
        <w:rPr>
          <w:rFonts w:asciiTheme="minorHAnsi" w:hAnsiTheme="minorHAnsi" w:cs="Arial"/>
        </w:rPr>
      </w:pPr>
      <w:r w:rsidRPr="001C02E7">
        <w:rPr>
          <w:rFonts w:asciiTheme="minorHAnsi" w:hAnsiTheme="minorHAnsi" w:cs="Arial"/>
        </w:rPr>
        <w:t>there is a nil or nominal consideration;</w:t>
      </w:r>
    </w:p>
    <w:p w:rsidR="001C02E7" w:rsidRPr="001C02E7" w:rsidRDefault="001C02E7" w:rsidP="001C02E7">
      <w:pPr>
        <w:widowControl/>
        <w:numPr>
          <w:ilvl w:val="0"/>
          <w:numId w:val="8"/>
        </w:numPr>
        <w:tabs>
          <w:tab w:val="clear" w:pos="1800"/>
        </w:tabs>
        <w:suppressAutoHyphens w:val="0"/>
        <w:adjustRightInd w:val="0"/>
        <w:spacing w:before="120"/>
        <w:ind w:left="1985" w:hanging="567"/>
        <w:jc w:val="both"/>
        <w:textAlignment w:val="auto"/>
        <w:rPr>
          <w:rFonts w:asciiTheme="minorHAnsi" w:hAnsiTheme="minorHAnsi" w:cs="Arial"/>
        </w:rPr>
      </w:pPr>
      <w:r w:rsidRPr="001C02E7">
        <w:rPr>
          <w:rFonts w:asciiTheme="minorHAnsi" w:hAnsiTheme="minorHAnsi" w:cs="Arial"/>
        </w:rPr>
        <w:t>in the case of an agreement for sale—where there is no selling agent and the same legal firm is acting for both parties;</w:t>
      </w:r>
    </w:p>
    <w:p w:rsidR="001C02E7" w:rsidRPr="001C02E7" w:rsidRDefault="001C02E7" w:rsidP="001C02E7">
      <w:pPr>
        <w:widowControl/>
        <w:numPr>
          <w:ilvl w:val="0"/>
          <w:numId w:val="8"/>
        </w:numPr>
        <w:tabs>
          <w:tab w:val="clear" w:pos="1800"/>
        </w:tabs>
        <w:suppressAutoHyphens w:val="0"/>
        <w:adjustRightInd w:val="0"/>
        <w:spacing w:before="120"/>
        <w:ind w:left="1985" w:hanging="567"/>
        <w:jc w:val="both"/>
        <w:textAlignment w:val="auto"/>
        <w:rPr>
          <w:rFonts w:asciiTheme="minorHAnsi" w:hAnsiTheme="minorHAnsi" w:cs="Arial"/>
        </w:rPr>
      </w:pPr>
      <w:r w:rsidRPr="001C02E7">
        <w:rPr>
          <w:rFonts w:asciiTheme="minorHAnsi" w:hAnsiTheme="minorHAnsi" w:cs="Arial"/>
        </w:rPr>
        <w:t>in the case of a new Crown lease—where the value of works to be carried out on land, other than the land subject to the lease, is not specified;</w:t>
      </w:r>
    </w:p>
    <w:p w:rsidR="001C02E7" w:rsidRPr="001C02E7" w:rsidRDefault="001C02E7" w:rsidP="001C02E7">
      <w:pPr>
        <w:widowControl/>
        <w:numPr>
          <w:ilvl w:val="0"/>
          <w:numId w:val="8"/>
        </w:numPr>
        <w:tabs>
          <w:tab w:val="clear" w:pos="1800"/>
        </w:tabs>
        <w:suppressAutoHyphens w:val="0"/>
        <w:adjustRightInd w:val="0"/>
        <w:spacing w:before="120"/>
        <w:ind w:left="1985" w:hanging="567"/>
        <w:jc w:val="both"/>
        <w:textAlignment w:val="auto"/>
        <w:rPr>
          <w:rFonts w:asciiTheme="minorHAnsi" w:hAnsiTheme="minorHAnsi" w:cs="Arial"/>
        </w:rPr>
      </w:pPr>
      <w:r w:rsidRPr="001C02E7">
        <w:rPr>
          <w:rFonts w:asciiTheme="minorHAnsi" w:hAnsiTheme="minorHAnsi" w:cs="Arial"/>
        </w:rPr>
        <w:t xml:space="preserve">in the case of a commercial lease with premium – where the rent reserved for the lease is not clearly specified and/or a premium amount paid for the lease cannot be determined; </w:t>
      </w:r>
    </w:p>
    <w:p w:rsidR="001C02E7" w:rsidRPr="001C02E7" w:rsidRDefault="001C02E7" w:rsidP="001C02E7">
      <w:pPr>
        <w:widowControl/>
        <w:numPr>
          <w:ilvl w:val="0"/>
          <w:numId w:val="8"/>
        </w:numPr>
        <w:tabs>
          <w:tab w:val="clear" w:pos="1800"/>
        </w:tabs>
        <w:suppressAutoHyphens w:val="0"/>
        <w:adjustRightInd w:val="0"/>
        <w:spacing w:before="120"/>
        <w:ind w:left="1985" w:hanging="567"/>
        <w:jc w:val="both"/>
        <w:textAlignment w:val="auto"/>
        <w:rPr>
          <w:rFonts w:asciiTheme="minorHAnsi" w:hAnsiTheme="minorHAnsi" w:cs="Arial"/>
        </w:rPr>
      </w:pPr>
      <w:r w:rsidRPr="001C02E7">
        <w:rPr>
          <w:rFonts w:asciiTheme="minorHAnsi" w:hAnsiTheme="minorHAnsi" w:cs="Arial"/>
        </w:rPr>
        <w:t>all or part of the consideration is not monetary;</w:t>
      </w:r>
    </w:p>
    <w:p w:rsidR="001C02E7" w:rsidRPr="001C02E7" w:rsidRDefault="001C02E7" w:rsidP="001C02E7">
      <w:pPr>
        <w:widowControl/>
        <w:numPr>
          <w:ilvl w:val="0"/>
          <w:numId w:val="8"/>
        </w:numPr>
        <w:tabs>
          <w:tab w:val="clear" w:pos="1800"/>
        </w:tabs>
        <w:suppressAutoHyphens w:val="0"/>
        <w:adjustRightInd w:val="0"/>
        <w:spacing w:before="120"/>
        <w:ind w:left="1985" w:hanging="567"/>
        <w:jc w:val="both"/>
        <w:textAlignment w:val="auto"/>
        <w:rPr>
          <w:rFonts w:asciiTheme="minorHAnsi" w:hAnsiTheme="minorHAnsi" w:cs="Arial"/>
          <w:color w:val="000000"/>
        </w:rPr>
      </w:pPr>
      <w:r w:rsidRPr="001C02E7">
        <w:rPr>
          <w:rFonts w:asciiTheme="minorHAnsi" w:hAnsiTheme="minorHAnsi" w:cs="Arial"/>
        </w:rPr>
        <w:t>t</w:t>
      </w:r>
      <w:r w:rsidRPr="001C02E7">
        <w:rPr>
          <w:rFonts w:asciiTheme="minorHAnsi" w:hAnsiTheme="minorHAnsi" w:cs="Arial"/>
          <w:color w:val="000000"/>
        </w:rPr>
        <w:t xml:space="preserve">he </w:t>
      </w:r>
      <w:r w:rsidRPr="001C02E7">
        <w:rPr>
          <w:rFonts w:asciiTheme="minorHAnsi" w:hAnsiTheme="minorHAnsi" w:cs="Arial"/>
        </w:rPr>
        <w:t>Commissioner</w:t>
      </w:r>
      <w:r w:rsidRPr="001C02E7">
        <w:rPr>
          <w:rFonts w:asciiTheme="minorHAnsi" w:hAnsiTheme="minorHAnsi" w:cs="Arial"/>
          <w:color w:val="000000"/>
        </w:rPr>
        <w:t xml:space="preserve"> is not satisfied that the consideration is an adequate reflection of the unencumbered value of the property; </w:t>
      </w:r>
    </w:p>
    <w:p w:rsidR="001C02E7" w:rsidRPr="001C02E7" w:rsidRDefault="001C02E7" w:rsidP="001C02E7">
      <w:pPr>
        <w:widowControl/>
        <w:numPr>
          <w:ilvl w:val="0"/>
          <w:numId w:val="8"/>
        </w:numPr>
        <w:tabs>
          <w:tab w:val="clear" w:pos="1800"/>
        </w:tabs>
        <w:suppressAutoHyphens w:val="0"/>
        <w:adjustRightInd w:val="0"/>
        <w:spacing w:before="120"/>
        <w:ind w:left="1985" w:hanging="567"/>
        <w:jc w:val="both"/>
        <w:textAlignment w:val="auto"/>
        <w:rPr>
          <w:rFonts w:asciiTheme="minorHAnsi" w:hAnsiTheme="minorHAnsi" w:cs="Arial"/>
        </w:rPr>
      </w:pPr>
      <w:r w:rsidRPr="001C02E7">
        <w:rPr>
          <w:rFonts w:asciiTheme="minorHAnsi" w:hAnsiTheme="minorHAnsi" w:cs="Arial"/>
          <w:color w:val="000000"/>
        </w:rPr>
        <w:t xml:space="preserve">the Commissioner is not satisfied with the value provided by the granting body, or if the </w:t>
      </w:r>
      <w:r w:rsidRPr="001C02E7">
        <w:rPr>
          <w:rFonts w:asciiTheme="minorHAnsi" w:hAnsiTheme="minorHAnsi" w:cs="Arial"/>
        </w:rPr>
        <w:t>granting</w:t>
      </w:r>
      <w:r w:rsidRPr="001C02E7">
        <w:rPr>
          <w:rFonts w:asciiTheme="minorHAnsi" w:hAnsiTheme="minorHAnsi" w:cs="Arial"/>
          <w:color w:val="000000"/>
        </w:rPr>
        <w:t xml:space="preserve"> body did not provide a value; or</w:t>
      </w:r>
    </w:p>
    <w:p w:rsidR="001C02E7" w:rsidRPr="001C02E7" w:rsidRDefault="001C02E7" w:rsidP="001C02E7">
      <w:pPr>
        <w:widowControl/>
        <w:numPr>
          <w:ilvl w:val="0"/>
          <w:numId w:val="8"/>
        </w:numPr>
        <w:tabs>
          <w:tab w:val="clear" w:pos="1800"/>
        </w:tabs>
        <w:suppressAutoHyphens w:val="0"/>
        <w:adjustRightInd w:val="0"/>
        <w:spacing w:before="120"/>
        <w:ind w:left="1985" w:hanging="567"/>
        <w:jc w:val="both"/>
        <w:textAlignment w:val="auto"/>
        <w:rPr>
          <w:rFonts w:asciiTheme="minorHAnsi" w:hAnsiTheme="minorHAnsi" w:cs="Arial"/>
          <w:color w:val="000000"/>
        </w:rPr>
      </w:pPr>
      <w:proofErr w:type="gramStart"/>
      <w:r w:rsidRPr="001C02E7">
        <w:rPr>
          <w:rFonts w:asciiTheme="minorHAnsi" w:hAnsiTheme="minorHAnsi" w:cs="Arial"/>
        </w:rPr>
        <w:t>t</w:t>
      </w:r>
      <w:r w:rsidRPr="001C02E7">
        <w:rPr>
          <w:rFonts w:asciiTheme="minorHAnsi" w:hAnsiTheme="minorHAnsi" w:cs="Arial"/>
          <w:color w:val="000000"/>
        </w:rPr>
        <w:t>he</w:t>
      </w:r>
      <w:proofErr w:type="gramEnd"/>
      <w:r w:rsidRPr="001C02E7">
        <w:rPr>
          <w:rFonts w:asciiTheme="minorHAnsi" w:hAnsiTheme="minorHAnsi" w:cs="Arial"/>
          <w:color w:val="000000"/>
        </w:rPr>
        <w:t xml:space="preserve"> parties to the </w:t>
      </w:r>
      <w:r w:rsidRPr="001C02E7">
        <w:rPr>
          <w:rFonts w:asciiTheme="minorHAnsi" w:hAnsiTheme="minorHAnsi" w:cs="Arial"/>
        </w:rPr>
        <w:t>transaction</w:t>
      </w:r>
      <w:r w:rsidRPr="001C02E7">
        <w:rPr>
          <w:rFonts w:asciiTheme="minorHAnsi" w:hAnsiTheme="minorHAnsi" w:cs="Arial"/>
          <w:color w:val="000000"/>
        </w:rPr>
        <w:t xml:space="preserve"> are related persons or associated persons.</w:t>
      </w:r>
    </w:p>
    <w:p w:rsidR="001C02E7" w:rsidRPr="001C02E7" w:rsidRDefault="001C02E7" w:rsidP="001C02E7">
      <w:pPr>
        <w:adjustRightInd w:val="0"/>
        <w:spacing w:before="60" w:after="60"/>
        <w:ind w:left="851"/>
        <w:rPr>
          <w:rFonts w:asciiTheme="minorHAnsi" w:hAnsiTheme="minorHAnsi" w:cs="Arial"/>
          <w:b/>
          <w:bCs/>
          <w:iCs/>
          <w:u w:val="single"/>
        </w:rPr>
      </w:pPr>
      <w:r w:rsidRPr="001C02E7">
        <w:rPr>
          <w:rFonts w:asciiTheme="minorHAnsi" w:hAnsiTheme="minorHAnsi" w:cs="Arial"/>
          <w:b/>
          <w:bCs/>
          <w:iCs/>
          <w:u w:val="single"/>
        </w:rPr>
        <w:t>Related persons</w:t>
      </w:r>
    </w:p>
    <w:p w:rsidR="001C02E7" w:rsidRPr="001C02E7" w:rsidRDefault="001C02E7" w:rsidP="001C02E7">
      <w:pPr>
        <w:widowControl/>
        <w:numPr>
          <w:ilvl w:val="0"/>
          <w:numId w:val="7"/>
        </w:numPr>
        <w:shd w:val="clear" w:color="auto" w:fill="FFFFFF"/>
        <w:suppressAutoHyphens w:val="0"/>
        <w:autoSpaceDE/>
        <w:autoSpaceDN/>
        <w:spacing w:before="120" w:after="120"/>
        <w:ind w:left="1276" w:hanging="425"/>
        <w:jc w:val="both"/>
        <w:textAlignment w:val="auto"/>
        <w:rPr>
          <w:rFonts w:asciiTheme="minorHAnsi" w:hAnsiTheme="minorHAnsi" w:cs="Arial"/>
          <w:color w:val="000000"/>
        </w:rPr>
      </w:pPr>
      <w:r w:rsidRPr="001C02E7">
        <w:rPr>
          <w:rFonts w:asciiTheme="minorHAnsi" w:hAnsiTheme="minorHAnsi" w:cs="Arial"/>
          <w:bCs/>
          <w:iCs/>
          <w:color w:val="000000"/>
        </w:rPr>
        <w:t xml:space="preserve">“Related </w:t>
      </w:r>
      <w:r w:rsidRPr="001C02E7">
        <w:rPr>
          <w:rFonts w:asciiTheme="minorHAnsi" w:hAnsiTheme="minorHAnsi" w:cs="Arial"/>
        </w:rPr>
        <w:t>person</w:t>
      </w:r>
      <w:r w:rsidRPr="001C02E7">
        <w:rPr>
          <w:rFonts w:asciiTheme="minorHAnsi" w:hAnsiTheme="minorHAnsi" w:cs="Arial"/>
          <w:bCs/>
          <w:iCs/>
          <w:color w:val="000000"/>
        </w:rPr>
        <w:t>” is defined in the Act and</w:t>
      </w:r>
      <w:r w:rsidRPr="001C02E7">
        <w:rPr>
          <w:rFonts w:asciiTheme="minorHAnsi" w:hAnsiTheme="minorHAnsi" w:cs="Arial"/>
          <w:b/>
          <w:bCs/>
          <w:i/>
          <w:iCs/>
          <w:color w:val="000000"/>
        </w:rPr>
        <w:t xml:space="preserve"> </w:t>
      </w:r>
      <w:r w:rsidRPr="001C02E7">
        <w:rPr>
          <w:rFonts w:asciiTheme="minorHAnsi" w:hAnsiTheme="minorHAnsi" w:cs="Arial"/>
          <w:color w:val="000000"/>
        </w:rPr>
        <w:t xml:space="preserve">means a person who is related to another person in </w:t>
      </w:r>
      <w:r w:rsidRPr="001C02E7">
        <w:rPr>
          <w:rFonts w:asciiTheme="minorHAnsi" w:hAnsiTheme="minorHAnsi" w:cs="Arial"/>
        </w:rPr>
        <w:t>accordance</w:t>
      </w:r>
      <w:r w:rsidRPr="001C02E7">
        <w:rPr>
          <w:rFonts w:asciiTheme="minorHAnsi" w:hAnsiTheme="minorHAnsi" w:cs="Arial"/>
          <w:color w:val="000000"/>
        </w:rPr>
        <w:t xml:space="preserve"> with any of the following provisions:</w:t>
      </w:r>
    </w:p>
    <w:p w:rsidR="001C02E7" w:rsidRPr="001C02E7" w:rsidRDefault="001C02E7" w:rsidP="001C02E7">
      <w:pPr>
        <w:adjustRightInd w:val="0"/>
        <w:spacing w:before="120"/>
        <w:ind w:left="1985" w:hanging="567"/>
        <w:jc w:val="both"/>
        <w:rPr>
          <w:rFonts w:asciiTheme="minorHAnsi" w:hAnsiTheme="minorHAnsi" w:cs="Arial"/>
        </w:rPr>
      </w:pPr>
      <w:r w:rsidRPr="001C02E7">
        <w:rPr>
          <w:rFonts w:asciiTheme="minorHAnsi" w:hAnsiTheme="minorHAnsi" w:cs="Arial"/>
        </w:rPr>
        <w:t>(a)</w:t>
      </w:r>
      <w:r w:rsidRPr="001C02E7">
        <w:rPr>
          <w:rFonts w:asciiTheme="minorHAnsi" w:hAnsiTheme="minorHAnsi" w:cs="Arial"/>
        </w:rPr>
        <w:tab/>
      </w:r>
      <w:proofErr w:type="gramStart"/>
      <w:r w:rsidRPr="001C02E7">
        <w:rPr>
          <w:rFonts w:asciiTheme="minorHAnsi" w:hAnsiTheme="minorHAnsi" w:cs="Arial"/>
        </w:rPr>
        <w:t>individuals</w:t>
      </w:r>
      <w:proofErr w:type="gramEnd"/>
      <w:r w:rsidRPr="001C02E7">
        <w:rPr>
          <w:rFonts w:asciiTheme="minorHAnsi" w:hAnsiTheme="minorHAnsi" w:cs="Arial"/>
        </w:rPr>
        <w:t xml:space="preserve"> are related people if:</w:t>
      </w:r>
    </w:p>
    <w:p w:rsidR="001C02E7" w:rsidRPr="001C02E7" w:rsidRDefault="001C02E7" w:rsidP="001C02E7">
      <w:pPr>
        <w:adjustRightInd w:val="0"/>
        <w:spacing w:before="120"/>
        <w:ind w:left="2694" w:hanging="567"/>
        <w:jc w:val="both"/>
        <w:rPr>
          <w:rFonts w:asciiTheme="minorHAnsi" w:hAnsiTheme="minorHAnsi" w:cs="Arial"/>
          <w:color w:val="000000"/>
        </w:rPr>
      </w:pPr>
      <w:r w:rsidRPr="001C02E7">
        <w:rPr>
          <w:rFonts w:asciiTheme="minorHAnsi" w:hAnsiTheme="minorHAnsi" w:cs="Arial"/>
          <w:color w:val="000000"/>
        </w:rPr>
        <w:t>(</w:t>
      </w:r>
      <w:proofErr w:type="spellStart"/>
      <w:r w:rsidRPr="001C02E7">
        <w:rPr>
          <w:rFonts w:asciiTheme="minorHAnsi" w:hAnsiTheme="minorHAnsi" w:cs="Arial"/>
          <w:color w:val="000000"/>
        </w:rPr>
        <w:t>i</w:t>
      </w:r>
      <w:proofErr w:type="spellEnd"/>
      <w:r w:rsidRPr="001C02E7">
        <w:rPr>
          <w:rFonts w:asciiTheme="minorHAnsi" w:hAnsiTheme="minorHAnsi" w:cs="Arial"/>
          <w:color w:val="000000"/>
        </w:rPr>
        <w:t>)</w:t>
      </w:r>
      <w:r w:rsidRPr="001C02E7">
        <w:rPr>
          <w:rFonts w:asciiTheme="minorHAnsi" w:hAnsiTheme="minorHAnsi" w:cs="Arial"/>
          <w:color w:val="000000"/>
        </w:rPr>
        <w:tab/>
      </w:r>
      <w:proofErr w:type="gramStart"/>
      <w:r w:rsidRPr="001C02E7">
        <w:rPr>
          <w:rFonts w:asciiTheme="minorHAnsi" w:hAnsiTheme="minorHAnsi" w:cs="Arial"/>
          <w:color w:val="000000"/>
        </w:rPr>
        <w:t>they</w:t>
      </w:r>
      <w:proofErr w:type="gramEnd"/>
      <w:r w:rsidRPr="001C02E7">
        <w:rPr>
          <w:rFonts w:asciiTheme="minorHAnsi" w:hAnsiTheme="minorHAnsi" w:cs="Arial"/>
          <w:color w:val="000000"/>
        </w:rPr>
        <w:t xml:space="preserve"> are partners, or they have been partners and the partnership has ended (whether the partnership ended in Australia or elsewhere); or</w:t>
      </w:r>
    </w:p>
    <w:p w:rsidR="001C02E7" w:rsidRPr="001C02E7" w:rsidRDefault="001C02E7" w:rsidP="001C02E7">
      <w:pPr>
        <w:adjustRightInd w:val="0"/>
        <w:spacing w:before="120"/>
        <w:ind w:left="2694" w:hanging="567"/>
        <w:jc w:val="both"/>
        <w:rPr>
          <w:rFonts w:asciiTheme="minorHAnsi" w:hAnsiTheme="minorHAnsi" w:cs="Arial"/>
          <w:color w:val="000000"/>
        </w:rPr>
      </w:pPr>
      <w:r w:rsidRPr="001C02E7">
        <w:rPr>
          <w:rFonts w:asciiTheme="minorHAnsi" w:hAnsiTheme="minorHAnsi" w:cs="Arial"/>
          <w:color w:val="000000"/>
        </w:rPr>
        <w:t>(ii)</w:t>
      </w:r>
      <w:r w:rsidRPr="001C02E7">
        <w:rPr>
          <w:rFonts w:asciiTheme="minorHAnsi" w:hAnsiTheme="minorHAnsi" w:cs="Arial"/>
          <w:color w:val="000000"/>
        </w:rPr>
        <w:tab/>
      </w:r>
      <w:proofErr w:type="gramStart"/>
      <w:r w:rsidRPr="001C02E7">
        <w:rPr>
          <w:rFonts w:asciiTheme="minorHAnsi" w:hAnsiTheme="minorHAnsi" w:cs="Arial"/>
          <w:color w:val="000000"/>
        </w:rPr>
        <w:t>the</w:t>
      </w:r>
      <w:proofErr w:type="gramEnd"/>
      <w:r w:rsidRPr="001C02E7">
        <w:rPr>
          <w:rFonts w:asciiTheme="minorHAnsi" w:hAnsiTheme="minorHAnsi" w:cs="Arial"/>
          <w:color w:val="000000"/>
        </w:rPr>
        <w:t xml:space="preserve"> relationship between them is that of parent and child, brothers, sisters, or brother and sister;</w:t>
      </w:r>
    </w:p>
    <w:p w:rsidR="001C02E7" w:rsidRPr="001C02E7" w:rsidRDefault="001C02E7" w:rsidP="001C02E7">
      <w:pPr>
        <w:adjustRightInd w:val="0"/>
        <w:spacing w:before="60"/>
        <w:ind w:left="1985" w:hanging="567"/>
        <w:jc w:val="both"/>
        <w:rPr>
          <w:rFonts w:asciiTheme="minorHAnsi" w:hAnsiTheme="minorHAnsi" w:cs="Arial"/>
          <w:color w:val="000000"/>
        </w:rPr>
      </w:pPr>
      <w:r w:rsidRPr="001C02E7">
        <w:rPr>
          <w:rFonts w:asciiTheme="minorHAnsi" w:hAnsiTheme="minorHAnsi" w:cs="Arial"/>
          <w:color w:val="000000"/>
        </w:rPr>
        <w:t>(b)</w:t>
      </w:r>
      <w:r w:rsidRPr="001C02E7">
        <w:rPr>
          <w:rFonts w:asciiTheme="minorHAnsi" w:hAnsiTheme="minorHAnsi" w:cs="Arial"/>
          <w:color w:val="000000"/>
        </w:rPr>
        <w:tab/>
      </w:r>
      <w:proofErr w:type="gramStart"/>
      <w:r w:rsidRPr="001C02E7">
        <w:rPr>
          <w:rFonts w:asciiTheme="minorHAnsi" w:hAnsiTheme="minorHAnsi" w:cs="Arial"/>
          <w:color w:val="000000"/>
        </w:rPr>
        <w:t>private</w:t>
      </w:r>
      <w:proofErr w:type="gramEnd"/>
      <w:r w:rsidRPr="001C02E7">
        <w:rPr>
          <w:rFonts w:asciiTheme="minorHAnsi" w:hAnsiTheme="minorHAnsi" w:cs="Arial"/>
          <w:color w:val="000000"/>
        </w:rPr>
        <w:t xml:space="preserve"> </w:t>
      </w:r>
      <w:r w:rsidRPr="001C02E7">
        <w:rPr>
          <w:rFonts w:asciiTheme="minorHAnsi" w:hAnsiTheme="minorHAnsi" w:cs="Arial"/>
        </w:rPr>
        <w:t>companies</w:t>
      </w:r>
      <w:r w:rsidRPr="001C02E7">
        <w:rPr>
          <w:rFonts w:asciiTheme="minorHAnsi" w:hAnsiTheme="minorHAnsi" w:cs="Arial"/>
          <w:color w:val="000000"/>
        </w:rPr>
        <w:t xml:space="preserve"> are related people if they are related bodies corporate;</w:t>
      </w:r>
    </w:p>
    <w:p w:rsidR="001C02E7" w:rsidRPr="001C02E7" w:rsidRDefault="001C02E7" w:rsidP="001C02E7">
      <w:pPr>
        <w:adjustRightInd w:val="0"/>
        <w:spacing w:before="120"/>
        <w:ind w:left="1985" w:hanging="567"/>
        <w:jc w:val="both"/>
        <w:rPr>
          <w:rFonts w:asciiTheme="minorHAnsi" w:hAnsiTheme="minorHAnsi" w:cs="Arial"/>
          <w:color w:val="000000"/>
        </w:rPr>
      </w:pPr>
      <w:r w:rsidRPr="001C02E7">
        <w:rPr>
          <w:rFonts w:asciiTheme="minorHAnsi" w:hAnsiTheme="minorHAnsi" w:cs="Arial"/>
          <w:color w:val="000000"/>
        </w:rPr>
        <w:t>(c)</w:t>
      </w:r>
      <w:r w:rsidRPr="001C02E7">
        <w:rPr>
          <w:rFonts w:asciiTheme="minorHAnsi" w:hAnsiTheme="minorHAnsi" w:cs="Arial"/>
          <w:color w:val="000000"/>
        </w:rPr>
        <w:tab/>
      </w:r>
      <w:proofErr w:type="gramStart"/>
      <w:r w:rsidRPr="001C02E7">
        <w:rPr>
          <w:rFonts w:asciiTheme="minorHAnsi" w:hAnsiTheme="minorHAnsi" w:cs="Arial"/>
          <w:color w:val="000000"/>
        </w:rPr>
        <w:t>an</w:t>
      </w:r>
      <w:proofErr w:type="gramEnd"/>
      <w:r w:rsidRPr="001C02E7">
        <w:rPr>
          <w:rFonts w:asciiTheme="minorHAnsi" w:hAnsiTheme="minorHAnsi" w:cs="Arial"/>
          <w:color w:val="000000"/>
        </w:rPr>
        <w:t xml:space="preserve"> individual and a private company are related people if the individual is a </w:t>
      </w:r>
      <w:r w:rsidRPr="001C02E7">
        <w:rPr>
          <w:rFonts w:asciiTheme="minorHAnsi" w:hAnsiTheme="minorHAnsi" w:cs="Arial"/>
        </w:rPr>
        <w:t>majority</w:t>
      </w:r>
      <w:r w:rsidRPr="001C02E7">
        <w:rPr>
          <w:rFonts w:asciiTheme="minorHAnsi" w:hAnsiTheme="minorHAnsi" w:cs="Arial"/>
          <w:color w:val="000000"/>
        </w:rPr>
        <w:t xml:space="preserve"> </w:t>
      </w:r>
      <w:r w:rsidRPr="001C02E7">
        <w:rPr>
          <w:rFonts w:asciiTheme="minorHAnsi" w:hAnsiTheme="minorHAnsi" w:cs="Arial"/>
        </w:rPr>
        <w:t>shareholder</w:t>
      </w:r>
      <w:r w:rsidRPr="001C02E7">
        <w:rPr>
          <w:rFonts w:asciiTheme="minorHAnsi" w:hAnsiTheme="minorHAnsi" w:cs="Arial"/>
          <w:color w:val="000000"/>
        </w:rPr>
        <w:t xml:space="preserve"> or director of the company or of another private company that is a related body corporate of the company;</w:t>
      </w:r>
    </w:p>
    <w:p w:rsidR="001C02E7" w:rsidRPr="001C02E7" w:rsidRDefault="001C02E7" w:rsidP="001C02E7">
      <w:pPr>
        <w:adjustRightInd w:val="0"/>
        <w:spacing w:before="120"/>
        <w:ind w:left="1985" w:hanging="567"/>
        <w:jc w:val="both"/>
        <w:rPr>
          <w:rFonts w:asciiTheme="minorHAnsi" w:hAnsiTheme="minorHAnsi" w:cs="Arial"/>
          <w:color w:val="000000"/>
        </w:rPr>
      </w:pPr>
      <w:r w:rsidRPr="001C02E7">
        <w:rPr>
          <w:rFonts w:asciiTheme="minorHAnsi" w:hAnsiTheme="minorHAnsi" w:cs="Arial"/>
          <w:color w:val="000000"/>
        </w:rPr>
        <w:t>(d)</w:t>
      </w:r>
      <w:r w:rsidRPr="001C02E7">
        <w:rPr>
          <w:rFonts w:asciiTheme="minorHAnsi" w:hAnsiTheme="minorHAnsi" w:cs="Arial"/>
          <w:color w:val="000000"/>
        </w:rPr>
        <w:tab/>
      </w:r>
      <w:proofErr w:type="gramStart"/>
      <w:r w:rsidRPr="001C02E7">
        <w:rPr>
          <w:rFonts w:asciiTheme="minorHAnsi" w:hAnsiTheme="minorHAnsi" w:cs="Arial"/>
          <w:color w:val="000000"/>
        </w:rPr>
        <w:t>an</w:t>
      </w:r>
      <w:proofErr w:type="gramEnd"/>
      <w:r w:rsidRPr="001C02E7">
        <w:rPr>
          <w:rFonts w:asciiTheme="minorHAnsi" w:hAnsiTheme="minorHAnsi" w:cs="Arial"/>
          <w:color w:val="000000"/>
        </w:rPr>
        <w:t xml:space="preserve"> individual and a trustee are related people if the individual is a </w:t>
      </w:r>
      <w:r w:rsidRPr="001C02E7">
        <w:rPr>
          <w:rFonts w:asciiTheme="minorHAnsi" w:hAnsiTheme="minorHAnsi" w:cs="Arial"/>
        </w:rPr>
        <w:t>beneficiary</w:t>
      </w:r>
      <w:r w:rsidRPr="001C02E7">
        <w:rPr>
          <w:rFonts w:asciiTheme="minorHAnsi" w:hAnsiTheme="minorHAnsi" w:cs="Arial"/>
          <w:color w:val="000000"/>
        </w:rPr>
        <w:t xml:space="preserve"> of </w:t>
      </w:r>
      <w:r w:rsidRPr="001C02E7">
        <w:rPr>
          <w:rFonts w:asciiTheme="minorHAnsi" w:hAnsiTheme="minorHAnsi" w:cs="Arial"/>
        </w:rPr>
        <w:t>the</w:t>
      </w:r>
      <w:r w:rsidRPr="001C02E7">
        <w:rPr>
          <w:rFonts w:asciiTheme="minorHAnsi" w:hAnsiTheme="minorHAnsi" w:cs="Arial"/>
          <w:color w:val="000000"/>
        </w:rPr>
        <w:t xml:space="preserve"> trust (other than a public unit trust scheme) of which the trustee is a trustee;</w:t>
      </w:r>
    </w:p>
    <w:p w:rsidR="001C02E7" w:rsidRPr="001C02E7" w:rsidRDefault="001C02E7" w:rsidP="001C02E7">
      <w:pPr>
        <w:adjustRightInd w:val="0"/>
        <w:spacing w:before="120"/>
        <w:ind w:left="1985" w:hanging="567"/>
        <w:jc w:val="both"/>
        <w:rPr>
          <w:rFonts w:asciiTheme="minorHAnsi" w:hAnsiTheme="minorHAnsi" w:cs="Arial"/>
          <w:color w:val="000000"/>
        </w:rPr>
      </w:pPr>
      <w:r w:rsidRPr="001C02E7">
        <w:rPr>
          <w:rFonts w:asciiTheme="minorHAnsi" w:hAnsiTheme="minorHAnsi" w:cs="Arial"/>
          <w:color w:val="000000"/>
        </w:rPr>
        <w:t>(e)</w:t>
      </w:r>
      <w:r w:rsidRPr="001C02E7">
        <w:rPr>
          <w:rFonts w:asciiTheme="minorHAnsi" w:hAnsiTheme="minorHAnsi" w:cs="Arial"/>
          <w:color w:val="000000"/>
        </w:rPr>
        <w:tab/>
        <w:t xml:space="preserve">a </w:t>
      </w:r>
      <w:r w:rsidRPr="001C02E7">
        <w:rPr>
          <w:rFonts w:asciiTheme="minorHAnsi" w:hAnsiTheme="minorHAnsi" w:cs="Arial"/>
        </w:rPr>
        <w:t>private</w:t>
      </w:r>
      <w:r w:rsidRPr="001C02E7">
        <w:rPr>
          <w:rFonts w:asciiTheme="minorHAnsi" w:hAnsiTheme="minorHAnsi" w:cs="Arial"/>
          <w:color w:val="000000"/>
        </w:rPr>
        <w:t xml:space="preserve"> company and a trustee are related people if the company, or a majority shareholder or director of the company, is a </w:t>
      </w:r>
      <w:r w:rsidRPr="001C02E7">
        <w:rPr>
          <w:rFonts w:asciiTheme="minorHAnsi" w:hAnsiTheme="minorHAnsi" w:cs="Arial"/>
        </w:rPr>
        <w:t>beneficiary</w:t>
      </w:r>
      <w:r w:rsidRPr="001C02E7">
        <w:rPr>
          <w:rFonts w:asciiTheme="minorHAnsi" w:hAnsiTheme="minorHAnsi" w:cs="Arial"/>
          <w:color w:val="000000"/>
        </w:rPr>
        <w:t xml:space="preserve"> of the trust (other than a public unit trust scheme) of which the trustee is a trustee.</w:t>
      </w:r>
    </w:p>
    <w:p w:rsidR="001C02E7" w:rsidRPr="001C02E7" w:rsidRDefault="001C02E7" w:rsidP="001C02E7">
      <w:pPr>
        <w:adjustRightInd w:val="0"/>
        <w:spacing w:before="60" w:after="60"/>
        <w:ind w:left="851"/>
        <w:rPr>
          <w:rFonts w:asciiTheme="minorHAnsi" w:hAnsiTheme="minorHAnsi" w:cs="Arial"/>
          <w:b/>
          <w:bCs/>
          <w:iCs/>
          <w:u w:val="single"/>
        </w:rPr>
      </w:pPr>
      <w:r w:rsidRPr="001C02E7">
        <w:rPr>
          <w:rFonts w:asciiTheme="minorHAnsi" w:hAnsiTheme="minorHAnsi" w:cs="Arial"/>
          <w:b/>
          <w:bCs/>
          <w:iCs/>
          <w:u w:val="single"/>
        </w:rPr>
        <w:lastRenderedPageBreak/>
        <w:t>Associated persons</w:t>
      </w:r>
    </w:p>
    <w:p w:rsidR="001C02E7" w:rsidRPr="001C02E7" w:rsidRDefault="001C02E7" w:rsidP="001C02E7">
      <w:pPr>
        <w:widowControl/>
        <w:numPr>
          <w:ilvl w:val="0"/>
          <w:numId w:val="7"/>
        </w:numPr>
        <w:shd w:val="clear" w:color="auto" w:fill="FFFFFF"/>
        <w:tabs>
          <w:tab w:val="clear" w:pos="454"/>
        </w:tabs>
        <w:suppressAutoHyphens w:val="0"/>
        <w:autoSpaceDE/>
        <w:autoSpaceDN/>
        <w:spacing w:before="120" w:after="120"/>
        <w:ind w:left="1276" w:hanging="425"/>
        <w:jc w:val="both"/>
        <w:textAlignment w:val="auto"/>
        <w:rPr>
          <w:rFonts w:asciiTheme="minorHAnsi" w:hAnsiTheme="minorHAnsi" w:cs="Arial"/>
          <w:bCs/>
          <w:iCs/>
          <w:color w:val="000000"/>
        </w:rPr>
      </w:pPr>
      <w:r w:rsidRPr="001C02E7">
        <w:rPr>
          <w:rFonts w:asciiTheme="minorHAnsi" w:hAnsiTheme="minorHAnsi" w:cs="Arial"/>
          <w:bCs/>
          <w:iCs/>
          <w:color w:val="000000"/>
        </w:rPr>
        <w:t xml:space="preserve">“Associated person” is defined in the Act and means a person who is associated with another person in </w:t>
      </w:r>
      <w:r w:rsidRPr="001C02E7">
        <w:rPr>
          <w:rFonts w:asciiTheme="minorHAnsi" w:hAnsiTheme="minorHAnsi" w:cs="Arial"/>
        </w:rPr>
        <w:t>accordance</w:t>
      </w:r>
      <w:r w:rsidRPr="001C02E7">
        <w:rPr>
          <w:rFonts w:asciiTheme="minorHAnsi" w:hAnsiTheme="minorHAnsi" w:cs="Arial"/>
          <w:bCs/>
          <w:iCs/>
          <w:color w:val="000000"/>
        </w:rPr>
        <w:t xml:space="preserve"> </w:t>
      </w:r>
      <w:r w:rsidRPr="001C02E7">
        <w:rPr>
          <w:rFonts w:asciiTheme="minorHAnsi" w:hAnsiTheme="minorHAnsi" w:cs="Arial"/>
        </w:rPr>
        <w:t>with</w:t>
      </w:r>
      <w:r w:rsidRPr="001C02E7">
        <w:rPr>
          <w:rFonts w:asciiTheme="minorHAnsi" w:hAnsiTheme="minorHAnsi" w:cs="Arial"/>
          <w:bCs/>
          <w:iCs/>
          <w:color w:val="000000"/>
        </w:rPr>
        <w:t xml:space="preserve"> any of the following provisions:</w:t>
      </w:r>
    </w:p>
    <w:p w:rsidR="001C02E7" w:rsidRPr="001C02E7" w:rsidRDefault="001C02E7" w:rsidP="001C02E7">
      <w:pPr>
        <w:widowControl/>
        <w:numPr>
          <w:ilvl w:val="0"/>
          <w:numId w:val="9"/>
        </w:numPr>
        <w:tabs>
          <w:tab w:val="clear" w:pos="1440"/>
        </w:tabs>
        <w:suppressAutoHyphens w:val="0"/>
        <w:adjustRightInd w:val="0"/>
        <w:spacing w:before="120"/>
        <w:ind w:left="1985" w:hanging="567"/>
        <w:jc w:val="both"/>
        <w:textAlignment w:val="auto"/>
        <w:rPr>
          <w:rFonts w:asciiTheme="minorHAnsi" w:hAnsiTheme="minorHAnsi" w:cs="Arial"/>
          <w:lang w:eastAsia="en-US"/>
        </w:rPr>
      </w:pPr>
      <w:r w:rsidRPr="001C02E7">
        <w:rPr>
          <w:rFonts w:asciiTheme="minorHAnsi" w:hAnsiTheme="minorHAnsi" w:cs="Arial"/>
        </w:rPr>
        <w:t>people are associated people if they are related people;</w:t>
      </w:r>
    </w:p>
    <w:p w:rsidR="001C02E7" w:rsidRPr="001C02E7" w:rsidRDefault="001C02E7" w:rsidP="001C02E7">
      <w:pPr>
        <w:widowControl/>
        <w:numPr>
          <w:ilvl w:val="0"/>
          <w:numId w:val="9"/>
        </w:numPr>
        <w:tabs>
          <w:tab w:val="clear" w:pos="1440"/>
        </w:tabs>
        <w:suppressAutoHyphens w:val="0"/>
        <w:adjustRightInd w:val="0"/>
        <w:spacing w:before="120"/>
        <w:ind w:left="1985" w:hanging="567"/>
        <w:jc w:val="both"/>
        <w:textAlignment w:val="auto"/>
        <w:rPr>
          <w:rFonts w:asciiTheme="minorHAnsi" w:hAnsiTheme="minorHAnsi" w:cs="Arial"/>
        </w:rPr>
      </w:pPr>
      <w:r w:rsidRPr="001C02E7">
        <w:rPr>
          <w:rFonts w:asciiTheme="minorHAnsi" w:hAnsiTheme="minorHAnsi" w:cs="Arial"/>
        </w:rPr>
        <w:t xml:space="preserve">individuals are associated people if they are partners in a partnership to which the </w:t>
      </w:r>
      <w:r w:rsidRPr="001C02E7">
        <w:rPr>
          <w:rFonts w:asciiTheme="minorHAnsi" w:hAnsiTheme="minorHAnsi" w:cs="Arial"/>
          <w:i/>
          <w:iCs/>
        </w:rPr>
        <w:t>Partnership Act 1963</w:t>
      </w:r>
      <w:r w:rsidRPr="001C02E7">
        <w:rPr>
          <w:rFonts w:asciiTheme="minorHAnsi" w:hAnsiTheme="minorHAnsi" w:cs="Arial"/>
        </w:rPr>
        <w:t xml:space="preserve"> applies;</w:t>
      </w:r>
    </w:p>
    <w:p w:rsidR="001C02E7" w:rsidRPr="001C02E7" w:rsidRDefault="001C02E7" w:rsidP="001C02E7">
      <w:pPr>
        <w:widowControl/>
        <w:numPr>
          <w:ilvl w:val="0"/>
          <w:numId w:val="9"/>
        </w:numPr>
        <w:tabs>
          <w:tab w:val="clear" w:pos="1440"/>
        </w:tabs>
        <w:suppressAutoHyphens w:val="0"/>
        <w:adjustRightInd w:val="0"/>
        <w:spacing w:before="120"/>
        <w:ind w:left="1985" w:hanging="567"/>
        <w:jc w:val="both"/>
        <w:textAlignment w:val="auto"/>
        <w:rPr>
          <w:rFonts w:asciiTheme="minorHAnsi" w:hAnsiTheme="minorHAnsi" w:cs="Arial"/>
        </w:rPr>
      </w:pPr>
      <w:r w:rsidRPr="001C02E7">
        <w:rPr>
          <w:rFonts w:asciiTheme="minorHAnsi" w:hAnsiTheme="minorHAnsi" w:cs="Arial"/>
        </w:rPr>
        <w:t>private companies are associated people if common shareholders have a majority interest in each private company;</w:t>
      </w:r>
    </w:p>
    <w:p w:rsidR="001C02E7" w:rsidRPr="001C02E7" w:rsidRDefault="001C02E7" w:rsidP="001C02E7">
      <w:pPr>
        <w:widowControl/>
        <w:numPr>
          <w:ilvl w:val="0"/>
          <w:numId w:val="9"/>
        </w:numPr>
        <w:tabs>
          <w:tab w:val="clear" w:pos="1440"/>
        </w:tabs>
        <w:suppressAutoHyphens w:val="0"/>
        <w:adjustRightInd w:val="0"/>
        <w:spacing w:before="120"/>
        <w:ind w:left="1985" w:hanging="567"/>
        <w:jc w:val="both"/>
        <w:textAlignment w:val="auto"/>
        <w:rPr>
          <w:rFonts w:asciiTheme="minorHAnsi" w:hAnsiTheme="minorHAnsi" w:cs="Arial"/>
        </w:rPr>
      </w:pPr>
      <w:r w:rsidRPr="001C02E7">
        <w:rPr>
          <w:rFonts w:asciiTheme="minorHAnsi" w:hAnsiTheme="minorHAnsi" w:cs="Arial"/>
        </w:rPr>
        <w:t>trustees are associated people if any person is a beneficiary common to the trusts (not including a public unit trust scheme) of which they are trustees;</w:t>
      </w:r>
    </w:p>
    <w:p w:rsidR="001C02E7" w:rsidRPr="001C02E7" w:rsidRDefault="001C02E7" w:rsidP="001C02E7">
      <w:pPr>
        <w:widowControl/>
        <w:numPr>
          <w:ilvl w:val="0"/>
          <w:numId w:val="9"/>
        </w:numPr>
        <w:tabs>
          <w:tab w:val="clear" w:pos="1440"/>
        </w:tabs>
        <w:suppressAutoHyphens w:val="0"/>
        <w:adjustRightInd w:val="0"/>
        <w:spacing w:before="120"/>
        <w:ind w:left="1985" w:hanging="567"/>
        <w:jc w:val="both"/>
        <w:textAlignment w:val="auto"/>
        <w:rPr>
          <w:rFonts w:asciiTheme="minorHAnsi" w:hAnsiTheme="minorHAnsi" w:cs="Arial"/>
        </w:rPr>
      </w:pPr>
      <w:proofErr w:type="gramStart"/>
      <w:r w:rsidRPr="001C02E7">
        <w:rPr>
          <w:rFonts w:asciiTheme="minorHAnsi" w:hAnsiTheme="minorHAnsi" w:cs="Arial"/>
        </w:rPr>
        <w:t>a</w:t>
      </w:r>
      <w:proofErr w:type="gramEnd"/>
      <w:r w:rsidRPr="001C02E7">
        <w:rPr>
          <w:rFonts w:asciiTheme="minorHAnsi" w:hAnsiTheme="minorHAnsi" w:cs="Arial"/>
        </w:rPr>
        <w:t xml:space="preserve"> private company and a trustee are associated people if a related body corporate of the company is a beneficiary of the trust (not including a public unit trust scheme) of which the trustee is a trustee.</w:t>
      </w:r>
    </w:p>
    <w:p w:rsidR="001C02E7" w:rsidRPr="001C02E7" w:rsidRDefault="001C02E7" w:rsidP="001C02E7">
      <w:pPr>
        <w:adjustRightInd w:val="0"/>
        <w:spacing w:before="60" w:after="60"/>
        <w:ind w:left="851"/>
        <w:rPr>
          <w:rFonts w:asciiTheme="minorHAnsi" w:hAnsiTheme="minorHAnsi" w:cs="Arial"/>
          <w:b/>
          <w:bCs/>
          <w:iCs/>
          <w:u w:val="single"/>
        </w:rPr>
      </w:pPr>
      <w:r w:rsidRPr="001C02E7">
        <w:rPr>
          <w:rFonts w:asciiTheme="minorHAnsi" w:hAnsiTheme="minorHAnsi" w:cs="Arial"/>
          <w:b/>
          <w:bCs/>
          <w:iCs/>
          <w:u w:val="single"/>
        </w:rPr>
        <w:t>Requirements for a property valuation report</w:t>
      </w:r>
    </w:p>
    <w:p w:rsidR="001C02E7" w:rsidRPr="001C02E7" w:rsidRDefault="001C02E7" w:rsidP="001C02E7">
      <w:pPr>
        <w:widowControl/>
        <w:numPr>
          <w:ilvl w:val="0"/>
          <w:numId w:val="7"/>
        </w:numPr>
        <w:shd w:val="clear" w:color="auto" w:fill="FFFFFF"/>
        <w:tabs>
          <w:tab w:val="clear" w:pos="454"/>
        </w:tabs>
        <w:suppressAutoHyphens w:val="0"/>
        <w:autoSpaceDE/>
        <w:autoSpaceDN/>
        <w:spacing w:before="120" w:after="120"/>
        <w:ind w:left="1276" w:hanging="425"/>
        <w:jc w:val="both"/>
        <w:textAlignment w:val="auto"/>
        <w:rPr>
          <w:rFonts w:asciiTheme="minorHAnsi" w:hAnsiTheme="minorHAnsi" w:cs="Arial"/>
          <w:color w:val="000000"/>
        </w:rPr>
      </w:pPr>
      <w:r w:rsidRPr="001C02E7">
        <w:rPr>
          <w:rFonts w:asciiTheme="minorHAnsi" w:hAnsiTheme="minorHAnsi" w:cs="Arial"/>
        </w:rPr>
        <w:t>A property valuation report must be prepared on the basis of a transaction between a</w:t>
      </w:r>
      <w:r w:rsidRPr="001C02E7">
        <w:rPr>
          <w:rFonts w:asciiTheme="minorHAnsi" w:hAnsiTheme="minorHAnsi" w:cs="Arial"/>
          <w:color w:val="000000"/>
        </w:rPr>
        <w:t xml:space="preserve"> “willing but not anxious buyer and a willing but not anxious seller”.  Instructions to the valuer preparing the report </w:t>
      </w:r>
      <w:r w:rsidRPr="001C02E7">
        <w:rPr>
          <w:rFonts w:asciiTheme="minorHAnsi" w:hAnsiTheme="minorHAnsi" w:cs="Arial"/>
        </w:rPr>
        <w:t>must</w:t>
      </w:r>
      <w:r w:rsidRPr="001C02E7">
        <w:rPr>
          <w:rFonts w:asciiTheme="minorHAnsi" w:hAnsiTheme="minorHAnsi" w:cs="Arial"/>
          <w:color w:val="000000"/>
        </w:rPr>
        <w:t xml:space="preserve"> be in accordance with this requirement and must be attached to the valuation report.  The valuer must be a person who is qualified to make valuations for the class of property in question.</w:t>
      </w:r>
    </w:p>
    <w:p w:rsidR="001C02E7" w:rsidRPr="001C02E7" w:rsidRDefault="001C02E7" w:rsidP="001C02E7">
      <w:pPr>
        <w:widowControl/>
        <w:numPr>
          <w:ilvl w:val="0"/>
          <w:numId w:val="7"/>
        </w:numPr>
        <w:shd w:val="clear" w:color="auto" w:fill="FFFFFF"/>
        <w:tabs>
          <w:tab w:val="clear" w:pos="454"/>
        </w:tabs>
        <w:suppressAutoHyphens w:val="0"/>
        <w:autoSpaceDE/>
        <w:autoSpaceDN/>
        <w:spacing w:before="120" w:after="120"/>
        <w:ind w:left="1276" w:hanging="425"/>
        <w:textAlignment w:val="auto"/>
        <w:rPr>
          <w:rFonts w:asciiTheme="minorHAnsi" w:hAnsiTheme="minorHAnsi" w:cs="Arial"/>
          <w:color w:val="000000"/>
        </w:rPr>
      </w:pPr>
      <w:r w:rsidRPr="001C02E7">
        <w:rPr>
          <w:rFonts w:asciiTheme="minorHAnsi" w:hAnsiTheme="minorHAnsi" w:cs="Arial"/>
        </w:rPr>
        <w:t>The granting body or person making the valuation of a Crown lease at the time it is or was granted must assume that consideration is or was to be paid in a lump sum and the lessee is not obliged by the lease to carry out any works on the land leased or elsewhere (section 22 (6) of the Act).</w:t>
      </w:r>
    </w:p>
    <w:p w:rsidR="001C02E7" w:rsidRPr="001C02E7" w:rsidRDefault="001C02E7" w:rsidP="001C02E7">
      <w:pPr>
        <w:tabs>
          <w:tab w:val="left" w:pos="851"/>
        </w:tabs>
        <w:adjustRightInd w:val="0"/>
        <w:spacing w:before="60" w:after="60"/>
        <w:ind w:left="851"/>
        <w:rPr>
          <w:rFonts w:asciiTheme="minorHAnsi" w:hAnsiTheme="minorHAnsi" w:cs="Arial"/>
          <w:b/>
          <w:bCs/>
          <w:iCs/>
          <w:u w:val="single"/>
        </w:rPr>
      </w:pPr>
      <w:r w:rsidRPr="001C02E7">
        <w:rPr>
          <w:rFonts w:asciiTheme="minorHAnsi" w:hAnsiTheme="minorHAnsi" w:cs="Arial"/>
          <w:b/>
          <w:bCs/>
          <w:iCs/>
          <w:u w:val="single"/>
        </w:rPr>
        <w:t>Presenting evidence of value</w:t>
      </w:r>
    </w:p>
    <w:p w:rsidR="001C02E7" w:rsidRPr="001C02E7" w:rsidRDefault="001C02E7" w:rsidP="001C02E7">
      <w:pPr>
        <w:widowControl/>
        <w:numPr>
          <w:ilvl w:val="0"/>
          <w:numId w:val="7"/>
        </w:numPr>
        <w:shd w:val="clear" w:color="auto" w:fill="FFFFFF"/>
        <w:tabs>
          <w:tab w:val="clear" w:pos="454"/>
        </w:tabs>
        <w:suppressAutoHyphens w:val="0"/>
        <w:autoSpaceDE/>
        <w:autoSpaceDN/>
        <w:spacing w:before="120"/>
        <w:ind w:left="1276" w:hanging="425"/>
        <w:jc w:val="both"/>
        <w:textAlignment w:val="auto"/>
        <w:rPr>
          <w:rFonts w:asciiTheme="minorHAnsi" w:hAnsiTheme="minorHAnsi" w:cs="Arial"/>
          <w:color w:val="000000"/>
        </w:rPr>
      </w:pPr>
      <w:r w:rsidRPr="001C02E7">
        <w:rPr>
          <w:rFonts w:asciiTheme="minorHAnsi" w:hAnsiTheme="minorHAnsi" w:cs="Arial"/>
          <w:color w:val="000000"/>
        </w:rPr>
        <w:t xml:space="preserve">Presenting the required evidence of value with the transfer documentation will enable such transfers to be </w:t>
      </w:r>
      <w:r w:rsidRPr="001C02E7">
        <w:rPr>
          <w:rFonts w:asciiTheme="minorHAnsi" w:hAnsiTheme="minorHAnsi" w:cs="Arial"/>
        </w:rPr>
        <w:t>processed</w:t>
      </w:r>
      <w:r w:rsidRPr="001C02E7">
        <w:rPr>
          <w:rFonts w:asciiTheme="minorHAnsi" w:hAnsiTheme="minorHAnsi" w:cs="Arial"/>
          <w:color w:val="000000"/>
        </w:rPr>
        <w:t xml:space="preserve"> without delay, so </w:t>
      </w:r>
      <w:r w:rsidRPr="001C02E7">
        <w:rPr>
          <w:rFonts w:asciiTheme="minorHAnsi" w:hAnsiTheme="minorHAnsi" w:cs="Arial"/>
        </w:rPr>
        <w:t>eliminating</w:t>
      </w:r>
      <w:r w:rsidRPr="001C02E7">
        <w:rPr>
          <w:rFonts w:asciiTheme="minorHAnsi" w:hAnsiTheme="minorHAnsi" w:cs="Arial"/>
          <w:color w:val="000000"/>
        </w:rPr>
        <w:t xml:space="preserve"> the need for issuing an interim assessment. </w:t>
      </w:r>
    </w:p>
    <w:p w:rsidR="001C02E7" w:rsidRPr="001C02E7" w:rsidRDefault="001C02E7" w:rsidP="001C02E7">
      <w:pPr>
        <w:adjustRightInd w:val="0"/>
        <w:spacing w:before="60" w:after="60"/>
        <w:ind w:left="851"/>
        <w:rPr>
          <w:rFonts w:asciiTheme="minorHAnsi" w:hAnsiTheme="minorHAnsi" w:cs="Arial"/>
          <w:b/>
          <w:bCs/>
          <w:iCs/>
          <w:u w:val="single"/>
        </w:rPr>
      </w:pPr>
      <w:r w:rsidRPr="001C02E7">
        <w:rPr>
          <w:rFonts w:asciiTheme="minorHAnsi" w:hAnsiTheme="minorHAnsi" w:cs="Arial"/>
          <w:b/>
          <w:bCs/>
          <w:iCs/>
          <w:u w:val="single"/>
        </w:rPr>
        <w:t>Date of evidence of value</w:t>
      </w:r>
    </w:p>
    <w:p w:rsidR="001C02E7" w:rsidRPr="001C02E7" w:rsidRDefault="001C02E7" w:rsidP="001C02E7">
      <w:pPr>
        <w:widowControl/>
        <w:numPr>
          <w:ilvl w:val="0"/>
          <w:numId w:val="7"/>
        </w:numPr>
        <w:shd w:val="clear" w:color="auto" w:fill="FFFFFF"/>
        <w:tabs>
          <w:tab w:val="clear" w:pos="454"/>
        </w:tabs>
        <w:suppressAutoHyphens w:val="0"/>
        <w:autoSpaceDE/>
        <w:autoSpaceDN/>
        <w:spacing w:before="120" w:after="120"/>
        <w:ind w:left="1276" w:hanging="425"/>
        <w:jc w:val="both"/>
        <w:textAlignment w:val="auto"/>
        <w:rPr>
          <w:rFonts w:asciiTheme="minorHAnsi" w:hAnsiTheme="minorHAnsi" w:cs="Arial"/>
          <w:color w:val="000000"/>
        </w:rPr>
      </w:pPr>
      <w:r w:rsidRPr="001C02E7">
        <w:rPr>
          <w:rFonts w:asciiTheme="minorHAnsi" w:hAnsiTheme="minorHAnsi" w:cs="Arial"/>
          <w:color w:val="000000"/>
        </w:rPr>
        <w:t xml:space="preserve">Evidence of value is </w:t>
      </w:r>
      <w:r w:rsidRPr="001C02E7">
        <w:rPr>
          <w:rFonts w:asciiTheme="minorHAnsi" w:hAnsiTheme="minorHAnsi" w:cs="Arial"/>
        </w:rPr>
        <w:t>required</w:t>
      </w:r>
      <w:r w:rsidRPr="001C02E7">
        <w:rPr>
          <w:rFonts w:asciiTheme="minorHAnsi" w:hAnsiTheme="minorHAnsi" w:cs="Arial"/>
          <w:color w:val="000000"/>
        </w:rPr>
        <w:t xml:space="preserve"> as at the date a liability to pay duty on a dutiable </w:t>
      </w:r>
      <w:r w:rsidRPr="001C02E7">
        <w:rPr>
          <w:rFonts w:asciiTheme="minorHAnsi" w:hAnsiTheme="minorHAnsi" w:cs="Arial"/>
        </w:rPr>
        <w:t>transaction</w:t>
      </w:r>
      <w:r w:rsidRPr="001C02E7">
        <w:rPr>
          <w:rFonts w:asciiTheme="minorHAnsi" w:hAnsiTheme="minorHAnsi" w:cs="Arial"/>
          <w:color w:val="000000"/>
        </w:rPr>
        <w:t xml:space="preserve"> arises; however, </w:t>
      </w:r>
      <w:r w:rsidRPr="001C02E7">
        <w:rPr>
          <w:rFonts w:asciiTheme="minorHAnsi" w:hAnsiTheme="minorHAnsi" w:cs="Arial"/>
        </w:rPr>
        <w:t>evidence</w:t>
      </w:r>
      <w:r w:rsidRPr="001C02E7">
        <w:rPr>
          <w:rFonts w:asciiTheme="minorHAnsi" w:hAnsiTheme="minorHAnsi" w:cs="Arial"/>
          <w:color w:val="000000"/>
        </w:rPr>
        <w:t xml:space="preserve"> of value within 3 months of that date may be accepted.</w:t>
      </w:r>
    </w:p>
    <w:p w:rsidR="001C02E7" w:rsidRPr="001C02E7" w:rsidRDefault="001C02E7" w:rsidP="001C02E7">
      <w:pPr>
        <w:widowControl/>
        <w:numPr>
          <w:ilvl w:val="0"/>
          <w:numId w:val="7"/>
        </w:numPr>
        <w:shd w:val="clear" w:color="auto" w:fill="FFFFFF"/>
        <w:tabs>
          <w:tab w:val="clear" w:pos="454"/>
        </w:tabs>
        <w:suppressAutoHyphens w:val="0"/>
        <w:adjustRightInd w:val="0"/>
        <w:spacing w:before="120" w:after="120"/>
        <w:ind w:left="1276" w:hanging="425"/>
        <w:jc w:val="both"/>
        <w:textAlignment w:val="auto"/>
        <w:rPr>
          <w:rFonts w:asciiTheme="minorHAnsi" w:hAnsiTheme="minorHAnsi" w:cs="Arial"/>
          <w:color w:val="000000"/>
        </w:rPr>
      </w:pPr>
      <w:r w:rsidRPr="001C02E7">
        <w:rPr>
          <w:rFonts w:asciiTheme="minorHAnsi" w:hAnsiTheme="minorHAnsi" w:cs="Arial"/>
          <w:color w:val="000000"/>
        </w:rPr>
        <w:t xml:space="preserve">Evidence of value for the </w:t>
      </w:r>
      <w:r w:rsidRPr="001C02E7">
        <w:rPr>
          <w:rFonts w:asciiTheme="minorHAnsi" w:hAnsiTheme="minorHAnsi" w:cs="Arial"/>
        </w:rPr>
        <w:t>grant</w:t>
      </w:r>
      <w:r w:rsidRPr="001C02E7">
        <w:rPr>
          <w:rFonts w:asciiTheme="minorHAnsi" w:hAnsiTheme="minorHAnsi" w:cs="Arial"/>
          <w:color w:val="000000"/>
        </w:rPr>
        <w:t xml:space="preserve"> of a Crown lease is required as at the date of the grant of the </w:t>
      </w:r>
      <w:r w:rsidRPr="001C02E7">
        <w:rPr>
          <w:rFonts w:asciiTheme="minorHAnsi" w:hAnsiTheme="minorHAnsi" w:cs="Arial"/>
        </w:rPr>
        <w:t>lease</w:t>
      </w:r>
      <w:r w:rsidRPr="001C02E7">
        <w:rPr>
          <w:rFonts w:asciiTheme="minorHAnsi" w:hAnsiTheme="minorHAnsi" w:cs="Arial"/>
          <w:color w:val="000000"/>
        </w:rPr>
        <w:t>.</w:t>
      </w:r>
    </w:p>
    <w:p w:rsidR="001C02E7" w:rsidRPr="001C02E7" w:rsidRDefault="001C02E7" w:rsidP="001C02E7">
      <w:pPr>
        <w:shd w:val="clear" w:color="auto" w:fill="FFFFFF"/>
        <w:tabs>
          <w:tab w:val="left" w:pos="851"/>
        </w:tabs>
        <w:adjustRightInd w:val="0"/>
        <w:ind w:left="851"/>
        <w:rPr>
          <w:rFonts w:asciiTheme="minorHAnsi" w:hAnsiTheme="minorHAnsi" w:cs="Arial"/>
          <w:b/>
          <w:bCs/>
          <w:iCs/>
          <w:u w:val="single"/>
        </w:rPr>
      </w:pPr>
      <w:r w:rsidRPr="001C02E7">
        <w:rPr>
          <w:rFonts w:asciiTheme="minorHAnsi" w:hAnsiTheme="minorHAnsi" w:cs="Arial"/>
          <w:b/>
          <w:bCs/>
          <w:iCs/>
          <w:color w:val="000000"/>
          <w:u w:val="single"/>
        </w:rPr>
        <w:t>Evidence of value require</w:t>
      </w:r>
      <w:r w:rsidRPr="001C02E7">
        <w:rPr>
          <w:rFonts w:asciiTheme="minorHAnsi" w:hAnsiTheme="minorHAnsi" w:cs="Arial"/>
          <w:b/>
          <w:bCs/>
          <w:iCs/>
          <w:u w:val="single"/>
        </w:rPr>
        <w:t>d</w:t>
      </w:r>
    </w:p>
    <w:p w:rsidR="001C02E7" w:rsidRPr="001C02E7" w:rsidRDefault="001C02E7" w:rsidP="001C02E7">
      <w:pPr>
        <w:widowControl/>
        <w:numPr>
          <w:ilvl w:val="0"/>
          <w:numId w:val="7"/>
        </w:numPr>
        <w:shd w:val="clear" w:color="auto" w:fill="FFFFFF"/>
        <w:tabs>
          <w:tab w:val="clear" w:pos="454"/>
        </w:tabs>
        <w:suppressAutoHyphens w:val="0"/>
        <w:autoSpaceDE/>
        <w:autoSpaceDN/>
        <w:spacing w:before="60" w:after="60"/>
        <w:ind w:left="1276" w:hanging="425"/>
        <w:jc w:val="both"/>
        <w:textAlignment w:val="auto"/>
        <w:rPr>
          <w:rFonts w:asciiTheme="minorHAnsi" w:hAnsiTheme="minorHAnsi" w:cs="Arial"/>
          <w:bCs/>
          <w:iCs/>
          <w:color w:val="000000"/>
        </w:rPr>
      </w:pPr>
      <w:r w:rsidRPr="001C02E7">
        <w:rPr>
          <w:rFonts w:asciiTheme="minorHAnsi" w:hAnsiTheme="minorHAnsi" w:cs="Arial"/>
          <w:bCs/>
          <w:iCs/>
          <w:color w:val="000000"/>
        </w:rPr>
        <w:t xml:space="preserve">Documentation is </w:t>
      </w:r>
      <w:r w:rsidRPr="001C02E7">
        <w:rPr>
          <w:rFonts w:asciiTheme="minorHAnsi" w:hAnsiTheme="minorHAnsi" w:cs="Arial"/>
          <w:color w:val="000000"/>
        </w:rPr>
        <w:t>required</w:t>
      </w:r>
      <w:r w:rsidRPr="001C02E7">
        <w:rPr>
          <w:rFonts w:asciiTheme="minorHAnsi" w:hAnsiTheme="minorHAnsi" w:cs="Arial"/>
          <w:bCs/>
          <w:iCs/>
          <w:color w:val="000000"/>
        </w:rPr>
        <w:t xml:space="preserve"> as follows:</w:t>
      </w:r>
    </w:p>
    <w:tbl>
      <w:tblPr>
        <w:tblStyle w:val="TableGrid"/>
        <w:tblW w:w="9498" w:type="dxa"/>
        <w:tblInd w:w="959" w:type="dxa"/>
        <w:tblLook w:val="00BF"/>
      </w:tblPr>
      <w:tblGrid>
        <w:gridCol w:w="2694"/>
        <w:gridCol w:w="6804"/>
      </w:tblGrid>
      <w:tr w:rsidR="001C02E7" w:rsidRPr="001C02E7" w:rsidTr="001C02E7">
        <w:tc>
          <w:tcPr>
            <w:tcW w:w="2694" w:type="dxa"/>
            <w:tcBorders>
              <w:top w:val="single" w:sz="4" w:space="0" w:color="auto"/>
              <w:left w:val="single" w:sz="4" w:space="0" w:color="auto"/>
              <w:bottom w:val="single" w:sz="4" w:space="0" w:color="auto"/>
              <w:right w:val="single" w:sz="4" w:space="0" w:color="auto"/>
            </w:tcBorders>
            <w:hideMark/>
          </w:tcPr>
          <w:p w:rsidR="001C02E7" w:rsidRPr="001C02E7" w:rsidRDefault="001C02E7">
            <w:pPr>
              <w:autoSpaceDN w:val="0"/>
              <w:adjustRightInd w:val="0"/>
              <w:spacing w:before="40" w:after="40"/>
              <w:rPr>
                <w:rFonts w:cs="Arial"/>
                <w:b/>
                <w:color w:val="000000"/>
                <w:sz w:val="22"/>
                <w:szCs w:val="22"/>
                <w:lang w:eastAsia="en-AU"/>
              </w:rPr>
            </w:pPr>
            <w:r w:rsidRPr="001C02E7">
              <w:rPr>
                <w:rFonts w:cs="Arial"/>
                <w:b/>
                <w:color w:val="000000"/>
                <w:sz w:val="22"/>
                <w:szCs w:val="22"/>
                <w:lang w:eastAsia="en-AU"/>
              </w:rPr>
              <w:t>Vacant and unimproved land</w:t>
            </w:r>
          </w:p>
        </w:tc>
        <w:tc>
          <w:tcPr>
            <w:tcW w:w="6804" w:type="dxa"/>
            <w:tcBorders>
              <w:top w:val="single" w:sz="4" w:space="0" w:color="auto"/>
              <w:left w:val="single" w:sz="4" w:space="0" w:color="auto"/>
              <w:bottom w:val="single" w:sz="4" w:space="0" w:color="auto"/>
              <w:right w:val="single" w:sz="4" w:space="0" w:color="auto"/>
            </w:tcBorders>
            <w:hideMark/>
          </w:tcPr>
          <w:p w:rsidR="001C02E7" w:rsidRPr="001C02E7" w:rsidRDefault="001C02E7" w:rsidP="001C02E7">
            <w:pPr>
              <w:widowControl/>
              <w:numPr>
                <w:ilvl w:val="0"/>
                <w:numId w:val="10"/>
              </w:numPr>
              <w:suppressAutoHyphens w:val="0"/>
              <w:autoSpaceDN w:val="0"/>
              <w:adjustRightInd w:val="0"/>
              <w:spacing w:before="40" w:after="40"/>
              <w:rPr>
                <w:rFonts w:cs="Arial"/>
                <w:color w:val="000000"/>
                <w:sz w:val="22"/>
                <w:szCs w:val="22"/>
                <w:lang w:eastAsia="en-AU"/>
              </w:rPr>
            </w:pPr>
            <w:r w:rsidRPr="001C02E7">
              <w:rPr>
                <w:rFonts w:cs="Arial"/>
                <w:color w:val="000000"/>
                <w:sz w:val="22"/>
                <w:szCs w:val="22"/>
                <w:lang w:eastAsia="en-AU"/>
              </w:rPr>
              <w:t>A property valuation report by a certified valuer for the ACT Revenue Office for stamp duty purposes</w:t>
            </w:r>
          </w:p>
        </w:tc>
      </w:tr>
      <w:tr w:rsidR="001C02E7" w:rsidRPr="001C02E7" w:rsidTr="001C02E7">
        <w:tc>
          <w:tcPr>
            <w:tcW w:w="2694" w:type="dxa"/>
            <w:tcBorders>
              <w:top w:val="single" w:sz="4" w:space="0" w:color="auto"/>
              <w:left w:val="single" w:sz="4" w:space="0" w:color="auto"/>
              <w:bottom w:val="single" w:sz="4" w:space="0" w:color="auto"/>
              <w:right w:val="single" w:sz="4" w:space="0" w:color="auto"/>
            </w:tcBorders>
            <w:hideMark/>
          </w:tcPr>
          <w:p w:rsidR="001C02E7" w:rsidRPr="001C02E7" w:rsidRDefault="001C02E7">
            <w:pPr>
              <w:autoSpaceDN w:val="0"/>
              <w:adjustRightInd w:val="0"/>
              <w:spacing w:before="40" w:after="40"/>
              <w:rPr>
                <w:rFonts w:cs="Arial"/>
                <w:b/>
                <w:color w:val="000000"/>
                <w:sz w:val="22"/>
                <w:szCs w:val="22"/>
                <w:lang w:eastAsia="en-AU"/>
              </w:rPr>
            </w:pPr>
            <w:r w:rsidRPr="001C02E7">
              <w:rPr>
                <w:rFonts w:cs="Arial"/>
                <w:b/>
                <w:color w:val="000000"/>
                <w:sz w:val="22"/>
                <w:szCs w:val="22"/>
                <w:lang w:eastAsia="en-AU"/>
              </w:rPr>
              <w:t>Improved land</w:t>
            </w:r>
          </w:p>
        </w:tc>
        <w:tc>
          <w:tcPr>
            <w:tcW w:w="6804" w:type="dxa"/>
            <w:tcBorders>
              <w:top w:val="single" w:sz="4" w:space="0" w:color="auto"/>
              <w:left w:val="single" w:sz="4" w:space="0" w:color="auto"/>
              <w:bottom w:val="single" w:sz="4" w:space="0" w:color="auto"/>
              <w:right w:val="single" w:sz="4" w:space="0" w:color="auto"/>
            </w:tcBorders>
            <w:hideMark/>
          </w:tcPr>
          <w:p w:rsidR="001C02E7" w:rsidRPr="001C02E7" w:rsidRDefault="001C02E7" w:rsidP="001C02E7">
            <w:pPr>
              <w:widowControl/>
              <w:numPr>
                <w:ilvl w:val="0"/>
                <w:numId w:val="11"/>
              </w:numPr>
              <w:suppressAutoHyphens w:val="0"/>
              <w:autoSpaceDN w:val="0"/>
              <w:adjustRightInd w:val="0"/>
              <w:spacing w:before="40" w:after="40"/>
              <w:rPr>
                <w:rFonts w:cs="Arial"/>
                <w:color w:val="000000"/>
                <w:sz w:val="22"/>
                <w:szCs w:val="22"/>
                <w:lang w:eastAsia="en-AU"/>
              </w:rPr>
            </w:pPr>
            <w:r w:rsidRPr="001C02E7">
              <w:rPr>
                <w:rFonts w:cs="Arial"/>
                <w:color w:val="000000"/>
                <w:sz w:val="22"/>
                <w:szCs w:val="22"/>
                <w:lang w:eastAsia="en-AU"/>
              </w:rPr>
              <w:t xml:space="preserve">A full property valuation report by a certified valuer for the ACT Revenue Office for stamp duty purposes </w:t>
            </w:r>
            <w:r w:rsidRPr="001C02E7">
              <w:rPr>
                <w:rFonts w:cs="Arial"/>
                <w:b/>
                <w:bCs/>
                <w:color w:val="000000"/>
                <w:sz w:val="22"/>
                <w:szCs w:val="22"/>
                <w:lang w:eastAsia="en-AU"/>
              </w:rPr>
              <w:t>or</w:t>
            </w:r>
          </w:p>
          <w:p w:rsidR="001C02E7" w:rsidRPr="001C02E7" w:rsidRDefault="001C02E7" w:rsidP="001C02E7">
            <w:pPr>
              <w:widowControl/>
              <w:numPr>
                <w:ilvl w:val="0"/>
                <w:numId w:val="11"/>
              </w:numPr>
              <w:suppressAutoHyphens w:val="0"/>
              <w:autoSpaceDN w:val="0"/>
              <w:adjustRightInd w:val="0"/>
              <w:spacing w:before="40" w:after="40"/>
              <w:rPr>
                <w:rFonts w:cs="Arial"/>
                <w:color w:val="000000"/>
                <w:sz w:val="22"/>
                <w:szCs w:val="22"/>
                <w:lang w:eastAsia="en-AU"/>
              </w:rPr>
            </w:pPr>
            <w:r w:rsidRPr="001C02E7">
              <w:rPr>
                <w:rFonts w:cs="Arial"/>
                <w:color w:val="000000"/>
                <w:sz w:val="22"/>
                <w:szCs w:val="22"/>
                <w:lang w:eastAsia="en-AU"/>
              </w:rPr>
              <w:t>an agreement for sale which is evidence of a recent (within 3 months) arm’s length sale of the property</w:t>
            </w:r>
          </w:p>
        </w:tc>
      </w:tr>
      <w:tr w:rsidR="001C02E7" w:rsidRPr="001C02E7" w:rsidTr="001C02E7">
        <w:tc>
          <w:tcPr>
            <w:tcW w:w="2694" w:type="dxa"/>
            <w:tcBorders>
              <w:top w:val="single" w:sz="4" w:space="0" w:color="auto"/>
              <w:left w:val="single" w:sz="4" w:space="0" w:color="auto"/>
              <w:bottom w:val="single" w:sz="4" w:space="0" w:color="auto"/>
              <w:right w:val="single" w:sz="4" w:space="0" w:color="auto"/>
            </w:tcBorders>
            <w:hideMark/>
          </w:tcPr>
          <w:p w:rsidR="001C02E7" w:rsidRPr="001C02E7" w:rsidRDefault="001C02E7">
            <w:pPr>
              <w:autoSpaceDN w:val="0"/>
              <w:adjustRightInd w:val="0"/>
              <w:spacing w:before="40" w:after="40"/>
              <w:rPr>
                <w:rFonts w:cs="Arial"/>
                <w:b/>
                <w:color w:val="000000"/>
                <w:sz w:val="22"/>
                <w:szCs w:val="22"/>
                <w:lang w:eastAsia="en-AU"/>
              </w:rPr>
            </w:pPr>
            <w:r w:rsidRPr="001C02E7">
              <w:rPr>
                <w:rFonts w:cs="Arial"/>
                <w:b/>
                <w:color w:val="000000"/>
                <w:sz w:val="22"/>
                <w:szCs w:val="22"/>
                <w:lang w:eastAsia="en-AU"/>
              </w:rPr>
              <w:t xml:space="preserve">New Crown lease </w:t>
            </w:r>
          </w:p>
        </w:tc>
        <w:tc>
          <w:tcPr>
            <w:tcW w:w="6804" w:type="dxa"/>
            <w:tcBorders>
              <w:top w:val="single" w:sz="4" w:space="0" w:color="auto"/>
              <w:left w:val="single" w:sz="4" w:space="0" w:color="auto"/>
              <w:bottom w:val="single" w:sz="4" w:space="0" w:color="auto"/>
              <w:right w:val="single" w:sz="4" w:space="0" w:color="auto"/>
            </w:tcBorders>
            <w:hideMark/>
          </w:tcPr>
          <w:p w:rsidR="001C02E7" w:rsidRPr="001C02E7" w:rsidRDefault="001C02E7" w:rsidP="001C02E7">
            <w:pPr>
              <w:widowControl/>
              <w:numPr>
                <w:ilvl w:val="0"/>
                <w:numId w:val="11"/>
              </w:numPr>
              <w:suppressAutoHyphens w:val="0"/>
              <w:autoSpaceDN w:val="0"/>
              <w:adjustRightInd w:val="0"/>
              <w:spacing w:before="40" w:after="40"/>
              <w:rPr>
                <w:rFonts w:cs="Arial"/>
                <w:color w:val="000000"/>
                <w:sz w:val="22"/>
                <w:szCs w:val="22"/>
                <w:lang w:eastAsia="en-AU"/>
              </w:rPr>
            </w:pPr>
            <w:r w:rsidRPr="001C02E7">
              <w:rPr>
                <w:rFonts w:cs="Arial"/>
                <w:color w:val="000000"/>
                <w:sz w:val="22"/>
                <w:szCs w:val="22"/>
                <w:lang w:eastAsia="en-AU"/>
              </w:rPr>
              <w:t xml:space="preserve">A determination by the granting body of the value at the time the lease is granted; </w:t>
            </w:r>
            <w:r w:rsidRPr="001C02E7">
              <w:rPr>
                <w:rFonts w:cs="Arial"/>
                <w:b/>
                <w:color w:val="000000"/>
                <w:sz w:val="22"/>
                <w:szCs w:val="22"/>
                <w:lang w:eastAsia="en-AU"/>
              </w:rPr>
              <w:t>or</w:t>
            </w:r>
          </w:p>
          <w:p w:rsidR="001C02E7" w:rsidRPr="001C02E7" w:rsidRDefault="001C02E7" w:rsidP="001C02E7">
            <w:pPr>
              <w:widowControl/>
              <w:numPr>
                <w:ilvl w:val="0"/>
                <w:numId w:val="11"/>
              </w:numPr>
              <w:suppressAutoHyphens w:val="0"/>
              <w:autoSpaceDN w:val="0"/>
              <w:adjustRightInd w:val="0"/>
              <w:spacing w:before="40" w:after="40"/>
              <w:rPr>
                <w:rFonts w:cs="Arial"/>
                <w:color w:val="000000"/>
                <w:sz w:val="22"/>
                <w:szCs w:val="22"/>
                <w:lang w:eastAsia="en-AU"/>
              </w:rPr>
            </w:pPr>
            <w:r w:rsidRPr="001C02E7">
              <w:rPr>
                <w:rFonts w:cs="Arial"/>
                <w:color w:val="000000"/>
                <w:sz w:val="22"/>
                <w:szCs w:val="22"/>
                <w:lang w:eastAsia="en-AU"/>
              </w:rPr>
              <w:t>a full property valuation report by a certified valuer or the authorised contract valuer for the ACT Revenue Office</w:t>
            </w:r>
          </w:p>
          <w:p w:rsidR="001C02E7" w:rsidRPr="001C02E7" w:rsidRDefault="001C02E7">
            <w:pPr>
              <w:autoSpaceDN w:val="0"/>
              <w:adjustRightInd w:val="0"/>
              <w:spacing w:before="40" w:after="40"/>
              <w:rPr>
                <w:rFonts w:cs="Arial"/>
                <w:color w:val="000000"/>
                <w:sz w:val="22"/>
                <w:szCs w:val="22"/>
                <w:lang w:eastAsia="en-AU"/>
              </w:rPr>
            </w:pPr>
            <w:r w:rsidRPr="001C02E7">
              <w:rPr>
                <w:rFonts w:cs="Arial"/>
                <w:color w:val="000000"/>
                <w:sz w:val="22"/>
                <w:szCs w:val="22"/>
                <w:lang w:eastAsia="en-AU"/>
              </w:rPr>
              <w:t>The granting body, or the person making a valuation must assume:</w:t>
            </w:r>
          </w:p>
          <w:p w:rsidR="001C02E7" w:rsidRPr="001C02E7" w:rsidRDefault="001C02E7" w:rsidP="001C02E7">
            <w:pPr>
              <w:widowControl/>
              <w:numPr>
                <w:ilvl w:val="0"/>
                <w:numId w:val="12"/>
              </w:numPr>
              <w:suppressAutoHyphens w:val="0"/>
              <w:autoSpaceDN w:val="0"/>
              <w:adjustRightInd w:val="0"/>
              <w:spacing w:before="40" w:after="40"/>
              <w:rPr>
                <w:rFonts w:cs="Arial"/>
                <w:color w:val="000000"/>
                <w:sz w:val="22"/>
                <w:szCs w:val="22"/>
                <w:lang w:eastAsia="en-AU"/>
              </w:rPr>
            </w:pPr>
            <w:r w:rsidRPr="001C02E7">
              <w:rPr>
                <w:rFonts w:cs="Arial"/>
                <w:color w:val="000000"/>
                <w:sz w:val="22"/>
                <w:szCs w:val="22"/>
                <w:lang w:eastAsia="en-AU"/>
              </w:rPr>
              <w:lastRenderedPageBreak/>
              <w:t>consideration for the lease is or was to be paid as a lump sum, and</w:t>
            </w:r>
          </w:p>
          <w:p w:rsidR="001C02E7" w:rsidRPr="001C02E7" w:rsidRDefault="001C02E7" w:rsidP="001C02E7">
            <w:pPr>
              <w:widowControl/>
              <w:numPr>
                <w:ilvl w:val="0"/>
                <w:numId w:val="12"/>
              </w:numPr>
              <w:suppressAutoHyphens w:val="0"/>
              <w:autoSpaceDN w:val="0"/>
              <w:adjustRightInd w:val="0"/>
              <w:spacing w:before="40" w:after="40"/>
              <w:rPr>
                <w:rFonts w:cs="Arial"/>
                <w:color w:val="000000"/>
                <w:sz w:val="22"/>
                <w:szCs w:val="22"/>
                <w:lang w:eastAsia="en-AU"/>
              </w:rPr>
            </w:pPr>
            <w:proofErr w:type="gramStart"/>
            <w:r w:rsidRPr="001C02E7">
              <w:rPr>
                <w:rFonts w:cs="Arial"/>
                <w:color w:val="000000"/>
                <w:sz w:val="22"/>
                <w:szCs w:val="22"/>
                <w:lang w:eastAsia="en-AU"/>
              </w:rPr>
              <w:t>the</w:t>
            </w:r>
            <w:proofErr w:type="gramEnd"/>
            <w:r w:rsidRPr="001C02E7">
              <w:rPr>
                <w:rFonts w:cs="Arial"/>
                <w:color w:val="000000"/>
                <w:sz w:val="22"/>
                <w:szCs w:val="22"/>
                <w:lang w:eastAsia="en-AU"/>
              </w:rPr>
              <w:t xml:space="preserve"> lessee is not obliged by the lease to carry out any works, or to cause any works to be carried out, on the land leased, or elsewhere.  </w:t>
            </w:r>
          </w:p>
        </w:tc>
      </w:tr>
      <w:tr w:rsidR="001C02E7" w:rsidRPr="001C02E7" w:rsidTr="001C02E7">
        <w:tc>
          <w:tcPr>
            <w:tcW w:w="2694" w:type="dxa"/>
            <w:tcBorders>
              <w:top w:val="single" w:sz="4" w:space="0" w:color="auto"/>
              <w:left w:val="single" w:sz="4" w:space="0" w:color="auto"/>
              <w:bottom w:val="single" w:sz="4" w:space="0" w:color="auto"/>
              <w:right w:val="single" w:sz="4" w:space="0" w:color="auto"/>
            </w:tcBorders>
            <w:hideMark/>
          </w:tcPr>
          <w:p w:rsidR="001C02E7" w:rsidRPr="001C02E7" w:rsidRDefault="001C02E7">
            <w:pPr>
              <w:autoSpaceDN w:val="0"/>
              <w:adjustRightInd w:val="0"/>
              <w:spacing w:before="40" w:after="40"/>
              <w:rPr>
                <w:rFonts w:cs="Arial"/>
                <w:b/>
                <w:color w:val="000000"/>
                <w:sz w:val="22"/>
                <w:szCs w:val="22"/>
              </w:rPr>
            </w:pPr>
            <w:r w:rsidRPr="001C02E7">
              <w:rPr>
                <w:rFonts w:cs="Arial"/>
                <w:b/>
                <w:color w:val="000000"/>
                <w:sz w:val="22"/>
                <w:szCs w:val="22"/>
                <w:lang w:eastAsia="en-AU"/>
              </w:rPr>
              <w:lastRenderedPageBreak/>
              <w:t xml:space="preserve">Partnership interests </w:t>
            </w:r>
          </w:p>
        </w:tc>
        <w:tc>
          <w:tcPr>
            <w:tcW w:w="6804" w:type="dxa"/>
            <w:tcBorders>
              <w:top w:val="single" w:sz="4" w:space="0" w:color="auto"/>
              <w:left w:val="single" w:sz="4" w:space="0" w:color="auto"/>
              <w:bottom w:val="single" w:sz="4" w:space="0" w:color="auto"/>
              <w:right w:val="single" w:sz="4" w:space="0" w:color="auto"/>
            </w:tcBorders>
            <w:hideMark/>
          </w:tcPr>
          <w:p w:rsidR="001C02E7" w:rsidRPr="001C02E7" w:rsidRDefault="001C02E7" w:rsidP="001C02E7">
            <w:pPr>
              <w:widowControl/>
              <w:numPr>
                <w:ilvl w:val="0"/>
                <w:numId w:val="13"/>
              </w:numPr>
              <w:suppressAutoHyphens w:val="0"/>
              <w:autoSpaceDN w:val="0"/>
              <w:adjustRightInd w:val="0"/>
              <w:spacing w:before="40" w:after="40"/>
              <w:rPr>
                <w:rFonts w:cs="Arial"/>
                <w:color w:val="000000"/>
                <w:sz w:val="22"/>
                <w:szCs w:val="22"/>
                <w:lang w:eastAsia="en-AU"/>
              </w:rPr>
            </w:pPr>
            <w:r w:rsidRPr="001C02E7">
              <w:rPr>
                <w:rFonts w:cs="Arial"/>
                <w:color w:val="000000"/>
                <w:sz w:val="22"/>
                <w:szCs w:val="22"/>
                <w:lang w:eastAsia="en-AU"/>
              </w:rPr>
              <w:t>Audited financial statements of the partnership (or certified management reports) as at the date of transfer identifying the net value of partnership assets (after deducting partnership liabilities), the value of all dutiable property and the value of all partnership assets</w:t>
            </w:r>
          </w:p>
        </w:tc>
      </w:tr>
      <w:tr w:rsidR="001C02E7" w:rsidRPr="001C02E7" w:rsidTr="001C02E7">
        <w:tc>
          <w:tcPr>
            <w:tcW w:w="2694" w:type="dxa"/>
            <w:tcBorders>
              <w:top w:val="single" w:sz="4" w:space="0" w:color="auto"/>
              <w:left w:val="single" w:sz="4" w:space="0" w:color="auto"/>
              <w:bottom w:val="single" w:sz="4" w:space="0" w:color="auto"/>
              <w:right w:val="single" w:sz="4" w:space="0" w:color="auto"/>
            </w:tcBorders>
            <w:hideMark/>
          </w:tcPr>
          <w:p w:rsidR="001C02E7" w:rsidRPr="001C02E7" w:rsidRDefault="001C02E7">
            <w:pPr>
              <w:autoSpaceDN w:val="0"/>
              <w:adjustRightInd w:val="0"/>
              <w:spacing w:before="40" w:after="40"/>
              <w:rPr>
                <w:rFonts w:cs="Arial"/>
                <w:b/>
                <w:color w:val="000000"/>
                <w:sz w:val="22"/>
                <w:szCs w:val="22"/>
              </w:rPr>
            </w:pPr>
            <w:r w:rsidRPr="001C02E7">
              <w:rPr>
                <w:rFonts w:cs="Arial"/>
                <w:b/>
                <w:color w:val="000000"/>
                <w:sz w:val="22"/>
                <w:szCs w:val="22"/>
                <w:lang w:eastAsia="en-AU"/>
              </w:rPr>
              <w:t>Commercial lease with premium</w:t>
            </w:r>
          </w:p>
        </w:tc>
        <w:tc>
          <w:tcPr>
            <w:tcW w:w="6804" w:type="dxa"/>
            <w:tcBorders>
              <w:top w:val="single" w:sz="4" w:space="0" w:color="auto"/>
              <w:left w:val="single" w:sz="4" w:space="0" w:color="auto"/>
              <w:bottom w:val="single" w:sz="4" w:space="0" w:color="auto"/>
              <w:right w:val="single" w:sz="4" w:space="0" w:color="auto"/>
            </w:tcBorders>
            <w:hideMark/>
          </w:tcPr>
          <w:p w:rsidR="001C02E7" w:rsidRPr="001C02E7" w:rsidRDefault="001C02E7" w:rsidP="001C02E7">
            <w:pPr>
              <w:widowControl/>
              <w:numPr>
                <w:ilvl w:val="0"/>
                <w:numId w:val="14"/>
              </w:numPr>
              <w:suppressAutoHyphens w:val="0"/>
              <w:autoSpaceDN w:val="0"/>
              <w:adjustRightInd w:val="0"/>
              <w:spacing w:before="40" w:after="40"/>
              <w:rPr>
                <w:rFonts w:cs="Arial"/>
                <w:color w:val="000000"/>
                <w:sz w:val="22"/>
                <w:szCs w:val="22"/>
                <w:lang w:eastAsia="en-AU"/>
              </w:rPr>
            </w:pPr>
            <w:r w:rsidRPr="001C02E7">
              <w:rPr>
                <w:rFonts w:cs="Arial"/>
                <w:color w:val="000000"/>
                <w:sz w:val="22"/>
                <w:szCs w:val="22"/>
                <w:lang w:eastAsia="en-AU"/>
              </w:rPr>
              <w:t xml:space="preserve">A declaration from a certified valuer of the market rent for the lease, or other evidence that the Commissioner considers appropriate (for example, lease documentation showing rent payable during the term, any amount paid or payable for right to use the land, liabilities, and the value of all improvements, additions and outgoings). </w:t>
            </w:r>
          </w:p>
          <w:p w:rsidR="001C02E7" w:rsidRPr="001C02E7" w:rsidRDefault="001C02E7" w:rsidP="001C02E7">
            <w:pPr>
              <w:widowControl/>
              <w:numPr>
                <w:ilvl w:val="0"/>
                <w:numId w:val="14"/>
              </w:numPr>
              <w:suppressAutoHyphens w:val="0"/>
              <w:autoSpaceDN w:val="0"/>
              <w:adjustRightInd w:val="0"/>
              <w:spacing w:before="40" w:after="40"/>
              <w:rPr>
                <w:rFonts w:cs="Arial"/>
                <w:color w:val="000000"/>
                <w:sz w:val="22"/>
                <w:szCs w:val="22"/>
                <w:lang w:eastAsia="en-AU"/>
              </w:rPr>
            </w:pPr>
            <w:r w:rsidRPr="001C02E7">
              <w:rPr>
                <w:rFonts w:cs="Arial"/>
                <w:color w:val="000000"/>
                <w:sz w:val="22"/>
                <w:szCs w:val="22"/>
                <w:lang w:eastAsia="en-AU"/>
              </w:rPr>
              <w:t xml:space="preserve">Evidence of the agreement for the payment of a premium in relation to the lease, being any monetary or non-monetary consideration that is paid or agreed to be paid in relation to the lease, other than rent reserved. </w:t>
            </w:r>
          </w:p>
        </w:tc>
      </w:tr>
    </w:tbl>
    <w:p w:rsidR="001C02E7" w:rsidRPr="001C02E7" w:rsidRDefault="001C02E7" w:rsidP="001C02E7">
      <w:pPr>
        <w:adjustRightInd w:val="0"/>
        <w:spacing w:before="120" w:after="120"/>
        <w:ind w:left="851"/>
        <w:rPr>
          <w:rFonts w:asciiTheme="minorHAnsi" w:hAnsiTheme="minorHAnsi" w:cs="Arial"/>
          <w:color w:val="000000"/>
        </w:rPr>
      </w:pPr>
    </w:p>
    <w:p w:rsidR="001C02E7" w:rsidRPr="001C02E7" w:rsidRDefault="001C02E7" w:rsidP="001C02E7">
      <w:pPr>
        <w:adjustRightInd w:val="0"/>
        <w:spacing w:before="120" w:after="120"/>
        <w:ind w:left="851"/>
        <w:rPr>
          <w:rFonts w:asciiTheme="minorHAnsi" w:hAnsiTheme="minorHAnsi" w:cs="Arial"/>
          <w:color w:val="000000"/>
        </w:rPr>
      </w:pPr>
      <w:r w:rsidRPr="001C02E7">
        <w:rPr>
          <w:rFonts w:asciiTheme="minorHAnsi" w:hAnsiTheme="minorHAnsi" w:cs="Arial"/>
          <w:color w:val="000000"/>
        </w:rPr>
        <w:t>Signed</w:t>
      </w:r>
    </w:p>
    <w:p w:rsidR="001C02E7" w:rsidRPr="001C02E7" w:rsidRDefault="001C02E7" w:rsidP="001C02E7">
      <w:pPr>
        <w:adjustRightInd w:val="0"/>
        <w:ind w:left="851"/>
        <w:rPr>
          <w:rFonts w:asciiTheme="minorHAnsi" w:hAnsiTheme="minorHAnsi" w:cs="Arial"/>
          <w:bCs/>
          <w:lang w:eastAsia="en-US"/>
        </w:rPr>
      </w:pPr>
      <w:r w:rsidRPr="001C02E7">
        <w:rPr>
          <w:rFonts w:asciiTheme="minorHAnsi" w:hAnsiTheme="minorHAnsi" w:cs="Arial"/>
          <w:bCs/>
        </w:rPr>
        <w:t>Kim Salisbury</w:t>
      </w:r>
    </w:p>
    <w:p w:rsidR="001C02E7" w:rsidRPr="001C02E7" w:rsidRDefault="001C02E7" w:rsidP="001C02E7">
      <w:pPr>
        <w:adjustRightInd w:val="0"/>
        <w:ind w:left="851"/>
        <w:rPr>
          <w:rFonts w:asciiTheme="minorHAnsi" w:hAnsiTheme="minorHAnsi" w:cs="Arial"/>
        </w:rPr>
      </w:pPr>
      <w:r w:rsidRPr="001C02E7">
        <w:rPr>
          <w:rFonts w:asciiTheme="minorHAnsi" w:hAnsiTheme="minorHAnsi" w:cs="Arial"/>
        </w:rPr>
        <w:t>Commissioner for ACT Revenue</w:t>
      </w:r>
    </w:p>
    <w:p w:rsidR="001C02E7" w:rsidRPr="001C02E7" w:rsidRDefault="001C02E7" w:rsidP="001C02E7">
      <w:pPr>
        <w:adjustRightInd w:val="0"/>
        <w:ind w:left="851"/>
        <w:rPr>
          <w:rFonts w:asciiTheme="minorHAnsi" w:hAnsiTheme="minorHAnsi" w:cs="Arial"/>
        </w:rPr>
      </w:pPr>
      <w:r w:rsidRPr="001C02E7">
        <w:rPr>
          <w:rFonts w:asciiTheme="minorHAnsi" w:hAnsiTheme="minorHAnsi" w:cs="Arial"/>
        </w:rPr>
        <w:t>7 August 2015</w:t>
      </w:r>
    </w:p>
    <w:p w:rsidR="001C02E7" w:rsidRPr="001C02E7" w:rsidRDefault="001C02E7" w:rsidP="001C02E7">
      <w:pPr>
        <w:adjustRightInd w:val="0"/>
        <w:ind w:left="851"/>
        <w:rPr>
          <w:rFonts w:asciiTheme="minorHAnsi" w:hAnsiTheme="minorHAnsi" w:cs="Arial"/>
        </w:rPr>
      </w:pPr>
    </w:p>
    <w:p w:rsidR="00A970B8" w:rsidRPr="001C02E7" w:rsidRDefault="00A970B8" w:rsidP="001C02E7">
      <w:pPr>
        <w:shd w:val="clear" w:color="auto" w:fill="FFFFFF"/>
        <w:spacing w:after="60"/>
        <w:ind w:left="851"/>
        <w:jc w:val="both"/>
        <w:rPr>
          <w:rFonts w:asciiTheme="minorHAnsi" w:hAnsiTheme="minorHAnsi" w:cs="Arial"/>
        </w:rPr>
      </w:pPr>
    </w:p>
    <w:sectPr w:rsidR="00A970B8" w:rsidRPr="001C02E7" w:rsidSect="001C02E7">
      <w:pgSz w:w="11910" w:h="16840" w:code="9"/>
      <w:pgMar w:top="709" w:right="992" w:bottom="851" w:left="238"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741" w:rsidRDefault="00AD4741" w:rsidP="005B0828">
      <w:r>
        <w:separator/>
      </w:r>
    </w:p>
  </w:endnote>
  <w:endnote w:type="continuationSeparator" w:id="0">
    <w:p w:rsidR="00AD4741" w:rsidRDefault="00AD4741" w:rsidP="005B0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pPr>
      <w:pStyle w:val="BodyText"/>
      <w:overflowPunct w:val="0"/>
      <w:spacing w:line="12" w:lineRule="auto"/>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Pr="00F44A8D" w:rsidRDefault="00AD4741"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741" w:rsidRDefault="00AD4741" w:rsidP="005B0828">
      <w:r w:rsidRPr="005B0828">
        <w:rPr>
          <w:color w:val="000000"/>
        </w:rPr>
        <w:separator/>
      </w:r>
    </w:p>
  </w:footnote>
  <w:footnote w:type="continuationSeparator" w:id="0">
    <w:p w:rsidR="00AD4741" w:rsidRDefault="00AD4741" w:rsidP="005B0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rsidP="00822F9C">
    <w:pPr>
      <w:pStyle w:val="Header"/>
      <w:tabs>
        <w:tab w:val="clear" w:pos="4513"/>
        <w:tab w:val="clear" w:pos="9026"/>
      </w:tabs>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18924AB4"/>
    <w:multiLevelType w:val="hybridMultilevel"/>
    <w:tmpl w:val="94DE7668"/>
    <w:lvl w:ilvl="0" w:tplc="A40AA902">
      <w:start w:val="1"/>
      <w:numFmt w:val="bullet"/>
      <w:lvlText w:val=""/>
      <w:lvlJc w:val="left"/>
      <w:pPr>
        <w:tabs>
          <w:tab w:val="num" w:pos="284"/>
        </w:tabs>
        <w:ind w:left="284" w:hanging="284"/>
      </w:pPr>
      <w:rPr>
        <w:rFonts w:ascii="Symbol" w:hAnsi="Symbol" w:hint="default"/>
      </w:rPr>
    </w:lvl>
    <w:lvl w:ilvl="1" w:tplc="74F09A3C">
      <w:start w:val="1"/>
      <w:numFmt w:val="bullet"/>
      <w:lvlText w:val="o"/>
      <w:lvlJc w:val="left"/>
      <w:pPr>
        <w:tabs>
          <w:tab w:val="num" w:pos="1157"/>
        </w:tabs>
        <w:ind w:left="1137" w:hanging="340"/>
      </w:p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2">
    <w:nsid w:val="196B575C"/>
    <w:multiLevelType w:val="hybridMultilevel"/>
    <w:tmpl w:val="FDFAF976"/>
    <w:lvl w:ilvl="0" w:tplc="C882AD50">
      <w:start w:val="1"/>
      <w:numFmt w:val="decimal"/>
      <w:lvlText w:val="%1."/>
      <w:lvlJc w:val="left"/>
      <w:pPr>
        <w:tabs>
          <w:tab w:val="num" w:pos="454"/>
        </w:tabs>
        <w:ind w:left="72" w:hanging="72"/>
      </w:pPr>
      <w:rPr>
        <w:rFonts w:cs="Times New Roman"/>
        <w:b w:val="0"/>
      </w:rPr>
    </w:lvl>
    <w:lvl w:ilvl="1" w:tplc="74F09A3C">
      <w:start w:val="1"/>
      <w:numFmt w:val="bullet"/>
      <w:lvlText w:val="o"/>
      <w:lvlJc w:val="left"/>
      <w:pPr>
        <w:tabs>
          <w:tab w:val="num" w:pos="720"/>
        </w:tabs>
        <w:ind w:left="700" w:hanging="340"/>
      </w:pPr>
    </w:lvl>
    <w:lvl w:ilvl="2" w:tplc="09B48F00">
      <w:start w:val="1"/>
      <w:numFmt w:val="lowerLetter"/>
      <w:lvlText w:val="(%3)"/>
      <w:lvlJc w:val="left"/>
      <w:pPr>
        <w:tabs>
          <w:tab w:val="num" w:pos="1980"/>
        </w:tabs>
        <w:ind w:left="1980" w:hanging="720"/>
      </w:pPr>
      <w:rPr>
        <w:rFonts w:cs="Times New Roman"/>
      </w:rPr>
    </w:lvl>
    <w:lvl w:ilvl="3" w:tplc="0C09000F">
      <w:start w:val="1"/>
      <w:numFmt w:val="decimal"/>
      <w:lvlText w:val="%4."/>
      <w:lvlJc w:val="left"/>
      <w:pPr>
        <w:tabs>
          <w:tab w:val="num" w:pos="2160"/>
        </w:tabs>
        <w:ind w:left="2160" w:hanging="360"/>
      </w:pPr>
      <w:rPr>
        <w:rFonts w:cs="Times New Roman"/>
      </w:rPr>
    </w:lvl>
    <w:lvl w:ilvl="4" w:tplc="0C090019">
      <w:start w:val="1"/>
      <w:numFmt w:val="lowerLetter"/>
      <w:lvlText w:val="%5."/>
      <w:lvlJc w:val="left"/>
      <w:pPr>
        <w:tabs>
          <w:tab w:val="num" w:pos="2880"/>
        </w:tabs>
        <w:ind w:left="2880" w:hanging="360"/>
      </w:pPr>
      <w:rPr>
        <w:rFonts w:cs="Times New Roman"/>
      </w:rPr>
    </w:lvl>
    <w:lvl w:ilvl="5" w:tplc="0C09001B">
      <w:start w:val="1"/>
      <w:numFmt w:val="lowerRoman"/>
      <w:lvlText w:val="%6."/>
      <w:lvlJc w:val="right"/>
      <w:pPr>
        <w:tabs>
          <w:tab w:val="num" w:pos="3600"/>
        </w:tabs>
        <w:ind w:left="3600" w:hanging="180"/>
      </w:pPr>
      <w:rPr>
        <w:rFonts w:cs="Times New Roman"/>
      </w:rPr>
    </w:lvl>
    <w:lvl w:ilvl="6" w:tplc="0C09000F">
      <w:start w:val="1"/>
      <w:numFmt w:val="decimal"/>
      <w:lvlText w:val="%7."/>
      <w:lvlJc w:val="left"/>
      <w:pPr>
        <w:tabs>
          <w:tab w:val="num" w:pos="4320"/>
        </w:tabs>
        <w:ind w:left="4320" w:hanging="360"/>
      </w:pPr>
      <w:rPr>
        <w:rFonts w:cs="Times New Roman"/>
      </w:rPr>
    </w:lvl>
    <w:lvl w:ilvl="7" w:tplc="0C090019">
      <w:start w:val="1"/>
      <w:numFmt w:val="lowerLetter"/>
      <w:lvlText w:val="%8."/>
      <w:lvlJc w:val="left"/>
      <w:pPr>
        <w:tabs>
          <w:tab w:val="num" w:pos="5040"/>
        </w:tabs>
        <w:ind w:left="5040" w:hanging="360"/>
      </w:pPr>
      <w:rPr>
        <w:rFonts w:cs="Times New Roman"/>
      </w:rPr>
    </w:lvl>
    <w:lvl w:ilvl="8" w:tplc="0C09001B">
      <w:start w:val="1"/>
      <w:numFmt w:val="lowerRoman"/>
      <w:lvlText w:val="%9."/>
      <w:lvlJc w:val="right"/>
      <w:pPr>
        <w:tabs>
          <w:tab w:val="num" w:pos="5760"/>
        </w:tabs>
        <w:ind w:left="5760" w:hanging="180"/>
      </w:pPr>
      <w:rPr>
        <w:rFonts w:cs="Times New Roman"/>
      </w:rPr>
    </w:lvl>
  </w:abstractNum>
  <w:abstractNum w:abstractNumId="3">
    <w:nsid w:val="1DBC7A76"/>
    <w:multiLevelType w:val="hybridMultilevel"/>
    <w:tmpl w:val="CDD2A69A"/>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4">
    <w:nsid w:val="1DF5684E"/>
    <w:multiLevelType w:val="hybridMultilevel"/>
    <w:tmpl w:val="AE465BBA"/>
    <w:lvl w:ilvl="0" w:tplc="E1565F5E">
      <w:start w:val="1"/>
      <w:numFmt w:val="lowerLetter"/>
      <w:lvlText w:val="(%1)"/>
      <w:lvlJc w:val="left"/>
      <w:pPr>
        <w:tabs>
          <w:tab w:val="num" w:pos="1440"/>
        </w:tabs>
        <w:ind w:left="1440" w:hanging="720"/>
      </w:pPr>
      <w:rPr>
        <w:rFonts w:cs="Times New Roman"/>
      </w:rPr>
    </w:lvl>
    <w:lvl w:ilvl="1" w:tplc="0C090019">
      <w:start w:val="1"/>
      <w:numFmt w:val="lowerLetter"/>
      <w:lvlText w:val="%2."/>
      <w:lvlJc w:val="left"/>
      <w:pPr>
        <w:tabs>
          <w:tab w:val="num" w:pos="1800"/>
        </w:tabs>
        <w:ind w:left="1800" w:hanging="360"/>
      </w:pPr>
      <w:rPr>
        <w:rFonts w:cs="Times New Roman"/>
      </w:rPr>
    </w:lvl>
    <w:lvl w:ilvl="2" w:tplc="0C09001B">
      <w:start w:val="1"/>
      <w:numFmt w:val="lowerRoman"/>
      <w:lvlText w:val="%3."/>
      <w:lvlJc w:val="right"/>
      <w:pPr>
        <w:tabs>
          <w:tab w:val="num" w:pos="2520"/>
        </w:tabs>
        <w:ind w:left="2520" w:hanging="180"/>
      </w:pPr>
      <w:rPr>
        <w:rFonts w:cs="Times New Roman"/>
      </w:rPr>
    </w:lvl>
    <w:lvl w:ilvl="3" w:tplc="0C09000F">
      <w:start w:val="1"/>
      <w:numFmt w:val="decimal"/>
      <w:lvlText w:val="%4."/>
      <w:lvlJc w:val="left"/>
      <w:pPr>
        <w:tabs>
          <w:tab w:val="num" w:pos="3240"/>
        </w:tabs>
        <w:ind w:left="3240" w:hanging="360"/>
      </w:pPr>
      <w:rPr>
        <w:rFonts w:cs="Times New Roman"/>
      </w:rPr>
    </w:lvl>
    <w:lvl w:ilvl="4" w:tplc="0C090019">
      <w:start w:val="1"/>
      <w:numFmt w:val="lowerLetter"/>
      <w:lvlText w:val="%5."/>
      <w:lvlJc w:val="left"/>
      <w:pPr>
        <w:tabs>
          <w:tab w:val="num" w:pos="3960"/>
        </w:tabs>
        <w:ind w:left="3960" w:hanging="360"/>
      </w:pPr>
      <w:rPr>
        <w:rFonts w:cs="Times New Roman"/>
      </w:rPr>
    </w:lvl>
    <w:lvl w:ilvl="5" w:tplc="0C09001B">
      <w:start w:val="1"/>
      <w:numFmt w:val="lowerRoman"/>
      <w:lvlText w:val="%6."/>
      <w:lvlJc w:val="right"/>
      <w:pPr>
        <w:tabs>
          <w:tab w:val="num" w:pos="4680"/>
        </w:tabs>
        <w:ind w:left="4680" w:hanging="180"/>
      </w:pPr>
      <w:rPr>
        <w:rFonts w:cs="Times New Roman"/>
      </w:rPr>
    </w:lvl>
    <w:lvl w:ilvl="6" w:tplc="0C09000F">
      <w:start w:val="1"/>
      <w:numFmt w:val="decimal"/>
      <w:lvlText w:val="%7."/>
      <w:lvlJc w:val="left"/>
      <w:pPr>
        <w:tabs>
          <w:tab w:val="num" w:pos="5400"/>
        </w:tabs>
        <w:ind w:left="5400" w:hanging="360"/>
      </w:pPr>
      <w:rPr>
        <w:rFonts w:cs="Times New Roman"/>
      </w:rPr>
    </w:lvl>
    <w:lvl w:ilvl="7" w:tplc="0C090019">
      <w:start w:val="1"/>
      <w:numFmt w:val="lowerLetter"/>
      <w:lvlText w:val="%8."/>
      <w:lvlJc w:val="left"/>
      <w:pPr>
        <w:tabs>
          <w:tab w:val="num" w:pos="6120"/>
        </w:tabs>
        <w:ind w:left="6120" w:hanging="360"/>
      </w:pPr>
      <w:rPr>
        <w:rFonts w:cs="Times New Roman"/>
      </w:rPr>
    </w:lvl>
    <w:lvl w:ilvl="8" w:tplc="0C09001B">
      <w:start w:val="1"/>
      <w:numFmt w:val="lowerRoman"/>
      <w:lvlText w:val="%9."/>
      <w:lvlJc w:val="right"/>
      <w:pPr>
        <w:tabs>
          <w:tab w:val="num" w:pos="6840"/>
        </w:tabs>
        <w:ind w:left="6840" w:hanging="180"/>
      </w:pPr>
      <w:rPr>
        <w:rFonts w:cs="Times New Roman"/>
      </w:rPr>
    </w:lvl>
  </w:abstractNum>
  <w:abstractNum w:abstractNumId="5">
    <w:nsid w:val="25C07C99"/>
    <w:multiLevelType w:val="hybridMultilevel"/>
    <w:tmpl w:val="9206864A"/>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6">
    <w:nsid w:val="26011BA2"/>
    <w:multiLevelType w:val="hybridMultilevel"/>
    <w:tmpl w:val="41826A92"/>
    <w:lvl w:ilvl="0" w:tplc="E82EBB98">
      <w:start w:val="1"/>
      <w:numFmt w:val="decimal"/>
      <w:lvlText w:val="%1."/>
      <w:lvlJc w:val="left"/>
      <w:pPr>
        <w:tabs>
          <w:tab w:val="num" w:pos="720"/>
        </w:tabs>
        <w:ind w:left="720" w:hanging="720"/>
      </w:pPr>
      <w:rPr>
        <w:rFonts w:cs="Times New Roman"/>
        <w:color w:val="auto"/>
      </w:rPr>
    </w:lvl>
    <w:lvl w:ilvl="1" w:tplc="E1565F5E">
      <w:start w:val="1"/>
      <w:numFmt w:val="lowerLetter"/>
      <w:lvlText w:val="(%2)"/>
      <w:lvlJc w:val="left"/>
      <w:pPr>
        <w:tabs>
          <w:tab w:val="num" w:pos="1440"/>
        </w:tabs>
        <w:ind w:left="1440" w:hanging="720"/>
      </w:pPr>
      <w:rPr>
        <w:rFonts w:cs="Times New Roman"/>
        <w:color w:val="auto"/>
      </w:rPr>
    </w:lvl>
    <w:lvl w:ilvl="2" w:tplc="58E4B69E">
      <w:start w:val="1"/>
      <w:numFmt w:val="lowerRoman"/>
      <w:lvlText w:val="%3."/>
      <w:lvlJc w:val="right"/>
      <w:pPr>
        <w:tabs>
          <w:tab w:val="num" w:pos="1773"/>
        </w:tabs>
        <w:ind w:left="1773" w:hanging="153"/>
      </w:pPr>
      <w:rPr>
        <w:rFonts w:cs="Times New Roman"/>
        <w:color w:val="auto"/>
      </w:rPr>
    </w:lvl>
    <w:lvl w:ilvl="3" w:tplc="F8DA705A">
      <w:start w:val="1"/>
      <w:numFmt w:val="lowerLetter"/>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7">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53845B3"/>
    <w:multiLevelType w:val="hybridMultilevel"/>
    <w:tmpl w:val="F4B692FC"/>
    <w:lvl w:ilvl="0" w:tplc="85B0232A">
      <w:start w:val="1"/>
      <w:numFmt w:val="decimal"/>
      <w:lvlText w:val="%1."/>
      <w:lvlJc w:val="left"/>
      <w:pPr>
        <w:ind w:left="107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9">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8951B84"/>
    <w:multiLevelType w:val="hybridMultilevel"/>
    <w:tmpl w:val="8738E39E"/>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11">
    <w:nsid w:val="597D4941"/>
    <w:multiLevelType w:val="hybridMultilevel"/>
    <w:tmpl w:val="11B0FCDE"/>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12">
    <w:nsid w:val="78290D3D"/>
    <w:multiLevelType w:val="hybridMultilevel"/>
    <w:tmpl w:val="67E2DEF6"/>
    <w:lvl w:ilvl="0" w:tplc="E1565F5E">
      <w:start w:val="1"/>
      <w:numFmt w:val="lowerLetter"/>
      <w:lvlText w:val="(%1)"/>
      <w:lvlJc w:val="left"/>
      <w:pPr>
        <w:tabs>
          <w:tab w:val="num" w:pos="1800"/>
        </w:tabs>
        <w:ind w:left="1800" w:hanging="720"/>
      </w:pPr>
      <w:rPr>
        <w:rFonts w:cs="Times New Roman"/>
      </w:rPr>
    </w:lvl>
    <w:lvl w:ilvl="1" w:tplc="0C090019">
      <w:start w:val="1"/>
      <w:numFmt w:val="lowerLetter"/>
      <w:lvlText w:val="%2."/>
      <w:lvlJc w:val="left"/>
      <w:pPr>
        <w:tabs>
          <w:tab w:val="num" w:pos="2160"/>
        </w:tabs>
        <w:ind w:left="2160" w:hanging="360"/>
      </w:pPr>
      <w:rPr>
        <w:rFonts w:cs="Times New Roman"/>
      </w:rPr>
    </w:lvl>
    <w:lvl w:ilvl="2" w:tplc="0C09001B">
      <w:start w:val="1"/>
      <w:numFmt w:val="lowerRoman"/>
      <w:lvlText w:val="%3."/>
      <w:lvlJc w:val="right"/>
      <w:pPr>
        <w:tabs>
          <w:tab w:val="num" w:pos="2880"/>
        </w:tabs>
        <w:ind w:left="2880" w:hanging="180"/>
      </w:pPr>
      <w:rPr>
        <w:rFonts w:cs="Times New Roman"/>
      </w:rPr>
    </w:lvl>
    <w:lvl w:ilvl="3" w:tplc="0C09000F">
      <w:start w:val="1"/>
      <w:numFmt w:val="decimal"/>
      <w:lvlText w:val="%4."/>
      <w:lvlJc w:val="left"/>
      <w:pPr>
        <w:tabs>
          <w:tab w:val="num" w:pos="3600"/>
        </w:tabs>
        <w:ind w:left="3600" w:hanging="360"/>
      </w:pPr>
      <w:rPr>
        <w:rFonts w:cs="Times New Roman"/>
      </w:rPr>
    </w:lvl>
    <w:lvl w:ilvl="4" w:tplc="0C090019">
      <w:start w:val="1"/>
      <w:numFmt w:val="lowerLetter"/>
      <w:lvlText w:val="%5."/>
      <w:lvlJc w:val="left"/>
      <w:pPr>
        <w:tabs>
          <w:tab w:val="num" w:pos="4320"/>
        </w:tabs>
        <w:ind w:left="4320" w:hanging="360"/>
      </w:pPr>
      <w:rPr>
        <w:rFonts w:cs="Times New Roman"/>
      </w:rPr>
    </w:lvl>
    <w:lvl w:ilvl="5" w:tplc="0C09001B">
      <w:start w:val="1"/>
      <w:numFmt w:val="lowerRoman"/>
      <w:lvlText w:val="%6."/>
      <w:lvlJc w:val="right"/>
      <w:pPr>
        <w:tabs>
          <w:tab w:val="num" w:pos="5040"/>
        </w:tabs>
        <w:ind w:left="5040" w:hanging="180"/>
      </w:pPr>
      <w:rPr>
        <w:rFonts w:cs="Times New Roman"/>
      </w:rPr>
    </w:lvl>
    <w:lvl w:ilvl="6" w:tplc="0C09000F">
      <w:start w:val="1"/>
      <w:numFmt w:val="decimal"/>
      <w:lvlText w:val="%7."/>
      <w:lvlJc w:val="left"/>
      <w:pPr>
        <w:tabs>
          <w:tab w:val="num" w:pos="5760"/>
        </w:tabs>
        <w:ind w:left="5760" w:hanging="360"/>
      </w:pPr>
      <w:rPr>
        <w:rFonts w:cs="Times New Roman"/>
      </w:rPr>
    </w:lvl>
    <w:lvl w:ilvl="7" w:tplc="0C090019">
      <w:start w:val="1"/>
      <w:numFmt w:val="lowerLetter"/>
      <w:lvlText w:val="%8."/>
      <w:lvlJc w:val="left"/>
      <w:pPr>
        <w:tabs>
          <w:tab w:val="num" w:pos="6480"/>
        </w:tabs>
        <w:ind w:left="6480" w:hanging="360"/>
      </w:pPr>
      <w:rPr>
        <w:rFonts w:cs="Times New Roman"/>
      </w:rPr>
    </w:lvl>
    <w:lvl w:ilvl="8" w:tplc="0C09001B">
      <w:start w:val="1"/>
      <w:numFmt w:val="lowerRoman"/>
      <w:lvlText w:val="%9."/>
      <w:lvlJc w:val="right"/>
      <w:pPr>
        <w:tabs>
          <w:tab w:val="num" w:pos="7200"/>
        </w:tabs>
        <w:ind w:left="7200"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7"/>
  </w:num>
  <w:num w:numId="5">
    <w:abstractNumId w:val="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num>
  <w:num w:numId="13">
    <w:abstractNumId w:val="1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5B0828"/>
    <w:rsid w:val="000A00F3"/>
    <w:rsid w:val="000D649E"/>
    <w:rsid w:val="000D64C3"/>
    <w:rsid w:val="000F2603"/>
    <w:rsid w:val="0011361A"/>
    <w:rsid w:val="00193116"/>
    <w:rsid w:val="001C02E7"/>
    <w:rsid w:val="0020337F"/>
    <w:rsid w:val="00210C1D"/>
    <w:rsid w:val="002240B1"/>
    <w:rsid w:val="00244887"/>
    <w:rsid w:val="00275FAE"/>
    <w:rsid w:val="00310E54"/>
    <w:rsid w:val="00391CB7"/>
    <w:rsid w:val="004B47E0"/>
    <w:rsid w:val="00550052"/>
    <w:rsid w:val="005B0828"/>
    <w:rsid w:val="006B0ECA"/>
    <w:rsid w:val="006B2035"/>
    <w:rsid w:val="00712A2B"/>
    <w:rsid w:val="00822F9C"/>
    <w:rsid w:val="008B1CDE"/>
    <w:rsid w:val="008F612A"/>
    <w:rsid w:val="0096709E"/>
    <w:rsid w:val="009939A8"/>
    <w:rsid w:val="00A812EA"/>
    <w:rsid w:val="00A970B8"/>
    <w:rsid w:val="00AD4741"/>
    <w:rsid w:val="00AF7801"/>
    <w:rsid w:val="00BA4E72"/>
    <w:rsid w:val="00BB7D19"/>
    <w:rsid w:val="00BE0B6D"/>
    <w:rsid w:val="00BF64D2"/>
    <w:rsid w:val="00C24521"/>
    <w:rsid w:val="00C82405"/>
    <w:rsid w:val="00C8554F"/>
    <w:rsid w:val="00CD0ACD"/>
    <w:rsid w:val="00CD6913"/>
    <w:rsid w:val="00CF5275"/>
    <w:rsid w:val="00D37A7F"/>
    <w:rsid w:val="00D908F9"/>
    <w:rsid w:val="00DA0B26"/>
    <w:rsid w:val="00DA6ED5"/>
    <w:rsid w:val="00E81FA3"/>
    <w:rsid w:val="00EB4F51"/>
    <w:rsid w:val="00EB74B1"/>
    <w:rsid w:val="00EE3311"/>
    <w:rsid w:val="00F10DB5"/>
    <w:rsid w:val="00F44A8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jc w:val="both"/>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paragraph" w:styleId="FootnoteText">
    <w:name w:val="footnote text"/>
    <w:basedOn w:val="Normal"/>
    <w:link w:val="FootnoteTextChar"/>
    <w:uiPriority w:val="99"/>
    <w:semiHidden/>
    <w:unhideWhenUsed/>
    <w:rsid w:val="00A970B8"/>
    <w:pPr>
      <w:widowControl/>
      <w:suppressAutoHyphens w:val="0"/>
      <w:autoSpaceDE/>
      <w:autoSpaceDN/>
      <w:textAlignment w:val="auto"/>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A970B8"/>
    <w:rPr>
      <w:rFonts w:ascii="Times New Roman" w:hAnsi="Times New Roman"/>
      <w:sz w:val="20"/>
      <w:szCs w:val="20"/>
      <w:lang w:eastAsia="en-US"/>
    </w:rPr>
  </w:style>
  <w:style w:type="paragraph" w:customStyle="1" w:styleId="aExamNum">
    <w:name w:val="aExamNum"/>
    <w:basedOn w:val="Normal"/>
    <w:uiPriority w:val="99"/>
    <w:rsid w:val="00A970B8"/>
    <w:pPr>
      <w:widowControl/>
      <w:suppressAutoHyphens w:val="0"/>
      <w:autoSpaceDE/>
      <w:autoSpaceDN/>
      <w:spacing w:after="60"/>
      <w:ind w:left="1500" w:hanging="400"/>
      <w:jc w:val="both"/>
      <w:textAlignment w:val="auto"/>
    </w:pPr>
    <w:rPr>
      <w:rFonts w:ascii="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A970B8"/>
    <w:rPr>
      <w:rFonts w:ascii="Times New Roman" w:hAnsi="Times New Roman" w:cs="Times New Roman" w:hint="default"/>
      <w:vertAlign w:val="superscript"/>
    </w:rPr>
  </w:style>
  <w:style w:type="character" w:customStyle="1" w:styleId="charItals">
    <w:name w:val="charItals"/>
    <w:basedOn w:val="DefaultParagraphFont"/>
    <w:uiPriority w:val="99"/>
    <w:rsid w:val="00A970B8"/>
    <w:rPr>
      <w:rFonts w:ascii="Times New Roman" w:hAnsi="Times New Roman" w:cs="Times New Roman" w:hint="default"/>
      <w:i/>
      <w:iCs/>
    </w:rPr>
  </w:style>
  <w:style w:type="character" w:customStyle="1" w:styleId="charBoldItals">
    <w:name w:val="charBoldItals"/>
    <w:basedOn w:val="DefaultParagraphFont"/>
    <w:uiPriority w:val="99"/>
    <w:rsid w:val="00A970B8"/>
    <w:rPr>
      <w:rFonts w:ascii="Times New Roman" w:hAnsi="Times New Roman" w:cs="Times New Roman" w:hint="default"/>
      <w:b/>
      <w:bCs/>
      <w:i/>
      <w:iCs/>
    </w:rPr>
  </w:style>
  <w:style w:type="table" w:styleId="TableGrid">
    <w:name w:val="Table Grid"/>
    <w:basedOn w:val="TableNormal"/>
    <w:uiPriority w:val="99"/>
    <w:rsid w:val="00CF5275"/>
    <w:pPr>
      <w:autoSpaceDN/>
      <w:spacing w:after="0" w:line="240" w:lineRule="auto"/>
      <w:textAlignment w:val="auto"/>
    </w:pPr>
    <w:rPr>
      <w:rFonts w:asciiTheme="minorHAnsi" w:eastAsiaTheme="minorEastAsia" w:hAnsiTheme="minorHAns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jc w:val="both"/>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paragraph" w:styleId="FootnoteText">
    <w:name w:val="footnote text"/>
    <w:basedOn w:val="Normal"/>
    <w:link w:val="FootnoteTextChar"/>
    <w:uiPriority w:val="99"/>
    <w:semiHidden/>
    <w:unhideWhenUsed/>
    <w:rsid w:val="00A970B8"/>
    <w:pPr>
      <w:widowControl/>
      <w:suppressAutoHyphens w:val="0"/>
      <w:autoSpaceDE/>
      <w:autoSpaceDN/>
      <w:textAlignment w:val="auto"/>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A970B8"/>
    <w:rPr>
      <w:rFonts w:ascii="Times New Roman" w:hAnsi="Times New Roman"/>
      <w:sz w:val="20"/>
      <w:szCs w:val="20"/>
      <w:lang w:eastAsia="en-US"/>
    </w:rPr>
  </w:style>
  <w:style w:type="paragraph" w:customStyle="1" w:styleId="aExamNum">
    <w:name w:val="aExamNum"/>
    <w:basedOn w:val="Normal"/>
    <w:uiPriority w:val="99"/>
    <w:rsid w:val="00A970B8"/>
    <w:pPr>
      <w:widowControl/>
      <w:suppressAutoHyphens w:val="0"/>
      <w:autoSpaceDE/>
      <w:autoSpaceDN/>
      <w:spacing w:after="60"/>
      <w:ind w:left="1500" w:hanging="400"/>
      <w:jc w:val="both"/>
      <w:textAlignment w:val="auto"/>
    </w:pPr>
    <w:rPr>
      <w:rFonts w:ascii="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A970B8"/>
    <w:rPr>
      <w:rFonts w:ascii="Times New Roman" w:hAnsi="Times New Roman" w:cs="Times New Roman" w:hint="default"/>
      <w:vertAlign w:val="superscript"/>
    </w:rPr>
  </w:style>
  <w:style w:type="character" w:customStyle="1" w:styleId="charItals">
    <w:name w:val="charItals"/>
    <w:basedOn w:val="DefaultParagraphFont"/>
    <w:uiPriority w:val="99"/>
    <w:rsid w:val="00A970B8"/>
    <w:rPr>
      <w:rFonts w:ascii="Times New Roman" w:hAnsi="Times New Roman" w:cs="Times New Roman" w:hint="default"/>
      <w:i/>
      <w:iCs/>
    </w:rPr>
  </w:style>
  <w:style w:type="character" w:customStyle="1" w:styleId="charBoldItals">
    <w:name w:val="charBoldItals"/>
    <w:basedOn w:val="DefaultParagraphFont"/>
    <w:uiPriority w:val="99"/>
    <w:rsid w:val="00A970B8"/>
    <w:rPr>
      <w:rFonts w:ascii="Times New Roman" w:hAnsi="Times New Roman" w:cs="Times New Roman" w:hint="default"/>
      <w:b/>
      <w:bCs/>
      <w:i/>
      <w:iCs/>
    </w:rPr>
  </w:style>
  <w:style w:type="table" w:styleId="TableGrid">
    <w:name w:val="Table Grid"/>
    <w:basedOn w:val="TableNormal"/>
    <w:uiPriority w:val="99"/>
    <w:rsid w:val="00CF5275"/>
    <w:pPr>
      <w:autoSpaceDN/>
      <w:spacing w:after="0" w:line="240" w:lineRule="auto"/>
      <w:textAlignment w:val="auto"/>
    </w:pPr>
    <w:rPr>
      <w:rFonts w:asciiTheme="minorHAnsi" w:eastAsiaTheme="minorEastAsia" w:hAnsiTheme="minorHAnsi"/>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438060944">
      <w:bodyDiv w:val="1"/>
      <w:marLeft w:val="0"/>
      <w:marRight w:val="0"/>
      <w:marTop w:val="0"/>
      <w:marBottom w:val="0"/>
      <w:divBdr>
        <w:top w:val="none" w:sz="0" w:space="0" w:color="auto"/>
        <w:left w:val="none" w:sz="0" w:space="0" w:color="auto"/>
        <w:bottom w:val="none" w:sz="0" w:space="0" w:color="auto"/>
        <w:right w:val="none" w:sz="0" w:space="0" w:color="auto"/>
      </w:divBdr>
    </w:div>
    <w:div w:id="669917549">
      <w:bodyDiv w:val="1"/>
      <w:marLeft w:val="0"/>
      <w:marRight w:val="0"/>
      <w:marTop w:val="0"/>
      <w:marBottom w:val="0"/>
      <w:divBdr>
        <w:top w:val="none" w:sz="0" w:space="0" w:color="auto"/>
        <w:left w:val="none" w:sz="0" w:space="0" w:color="auto"/>
        <w:bottom w:val="none" w:sz="0" w:space="0" w:color="auto"/>
        <w:right w:val="none" w:sz="0" w:space="0" w:color="auto"/>
      </w:divBdr>
    </w:div>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948777318">
      <w:bodyDiv w:val="1"/>
      <w:marLeft w:val="0"/>
      <w:marRight w:val="0"/>
      <w:marTop w:val="0"/>
      <w:marBottom w:val="0"/>
      <w:divBdr>
        <w:top w:val="none" w:sz="0" w:space="0" w:color="auto"/>
        <w:left w:val="none" w:sz="0" w:space="0" w:color="auto"/>
        <w:bottom w:val="none" w:sz="0" w:space="0" w:color="auto"/>
        <w:right w:val="none" w:sz="0" w:space="0" w:color="auto"/>
      </w:divBdr>
    </w:div>
    <w:div w:id="950236418">
      <w:bodyDiv w:val="1"/>
      <w:marLeft w:val="0"/>
      <w:marRight w:val="0"/>
      <w:marTop w:val="0"/>
      <w:marBottom w:val="0"/>
      <w:divBdr>
        <w:top w:val="none" w:sz="0" w:space="0" w:color="auto"/>
        <w:left w:val="none" w:sz="0" w:space="0" w:color="auto"/>
        <w:bottom w:val="none" w:sz="0" w:space="0" w:color="auto"/>
        <w:right w:val="none" w:sz="0" w:space="0" w:color="auto"/>
      </w:divBdr>
    </w:div>
    <w:div w:id="1064454299">
      <w:bodyDiv w:val="1"/>
      <w:marLeft w:val="0"/>
      <w:marRight w:val="0"/>
      <w:marTop w:val="0"/>
      <w:marBottom w:val="0"/>
      <w:divBdr>
        <w:top w:val="none" w:sz="0" w:space="0" w:color="auto"/>
        <w:left w:val="none" w:sz="0" w:space="0" w:color="auto"/>
        <w:bottom w:val="none" w:sz="0" w:space="0" w:color="auto"/>
        <w:right w:val="none" w:sz="0" w:space="0" w:color="auto"/>
      </w:divBdr>
    </w:div>
    <w:div w:id="1315333827">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777743">
      <w:bodyDiv w:val="1"/>
      <w:marLeft w:val="0"/>
      <w:marRight w:val="0"/>
      <w:marTop w:val="0"/>
      <w:marBottom w:val="0"/>
      <w:divBdr>
        <w:top w:val="none" w:sz="0" w:space="0" w:color="auto"/>
        <w:left w:val="none" w:sz="0" w:space="0" w:color="auto"/>
        <w:bottom w:val="none" w:sz="0" w:space="0" w:color="auto"/>
        <w:right w:val="none" w:sz="0" w:space="0" w:color="auto"/>
      </w:divBdr>
    </w:div>
    <w:div w:id="1839923502">
      <w:bodyDiv w:val="1"/>
      <w:marLeft w:val="0"/>
      <w:marRight w:val="0"/>
      <w:marTop w:val="0"/>
      <w:marBottom w:val="0"/>
      <w:divBdr>
        <w:top w:val="none" w:sz="0" w:space="0" w:color="auto"/>
        <w:left w:val="none" w:sz="0" w:space="0" w:color="auto"/>
        <w:bottom w:val="none" w:sz="0" w:space="0" w:color="auto"/>
        <w:right w:val="none" w:sz="0" w:space="0" w:color="auto"/>
      </w:divBdr>
    </w:div>
    <w:div w:id="2092655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717AE-5508-4766-894A-490AD29F7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1605</Words>
  <Characters>7683</Characters>
  <Application>Microsoft Office Word</Application>
  <DocSecurity>0</DocSecurity>
  <Lines>154</Lines>
  <Paragraphs>73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Tereza Zilic</cp:lastModifiedBy>
  <cp:revision>6</cp:revision>
  <cp:lastPrinted>2017-05-08T23:51:00Z</cp:lastPrinted>
  <dcterms:created xsi:type="dcterms:W3CDTF">2017-05-27T12:47:00Z</dcterms:created>
  <dcterms:modified xsi:type="dcterms:W3CDTF">2017-06-09T02:09:00Z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