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CA" w:rsidRDefault="00A61156" w:rsidP="00DA0B26">
      <w:pPr>
        <w:pStyle w:val="BodyText"/>
        <w:overflowPunct w:val="0"/>
        <w:ind w:right="-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839470</wp:posOffset>
                </wp:positionV>
                <wp:extent cx="2693670" cy="602615"/>
                <wp:effectExtent l="0" t="0" r="0" b="698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67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B" w:rsidRPr="006B0ECA" w:rsidRDefault="007B467B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B0ECA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ACT REVENUE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    <v:textbox>
                  <w:txbxContent>
                    <w:p w:rsidR="007B467B" w:rsidRPr="006B0ECA" w:rsidRDefault="007B467B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B0ECA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ACT REVENUE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-1585595</wp:posOffset>
                </wp:positionV>
                <wp:extent cx="3528060" cy="949325"/>
                <wp:effectExtent l="0" t="0" r="0" b="317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7B" w:rsidRPr="00D908F9" w:rsidRDefault="007B467B" w:rsidP="00391CB7">
                            <w:pPr>
                              <w:pStyle w:val="Header"/>
                              <w:tabs>
                                <w:tab w:val="clear" w:pos="4513"/>
                              </w:tabs>
                              <w:jc w:val="both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ACT Revenue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    <v:textbox>
                  <w:txbxContent>
                    <w:p w:rsidR="007B467B" w:rsidRPr="00D908F9" w:rsidRDefault="007B467B" w:rsidP="00391CB7">
                      <w:pPr>
                        <w:pStyle w:val="Header"/>
                        <w:tabs>
                          <w:tab w:val="clear" w:pos="4513"/>
                        </w:tabs>
                        <w:jc w:val="both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ACT Revenue Office</w:t>
                      </w:r>
                    </w:p>
                  </w:txbxContent>
                </v:textbox>
              </v:rect>
            </w:pict>
          </mc:Fallback>
        </mc:AlternateContent>
      </w:r>
      <w:r w:rsidR="00391CB7">
        <w:rPr>
          <w:noProof/>
        </w:rPr>
        <w:drawing>
          <wp:inline distT="0" distB="0" distL="0" distR="0">
            <wp:extent cx="9553651" cy="2183082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875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813353" w:rsidRDefault="006B0ECA" w:rsidP="00AD4741">
      <w:pPr>
        <w:ind w:left="1134"/>
        <w:jc w:val="both"/>
        <w:rPr>
          <w:rFonts w:asciiTheme="minorHAnsi" w:hAnsiTheme="minorHAnsi"/>
          <w:sz w:val="16"/>
          <w:szCs w:val="16"/>
        </w:rPr>
      </w:pPr>
    </w:p>
    <w:tbl>
      <w:tblPr>
        <w:tblW w:w="433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9639"/>
      </w:tblGrid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9955D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6C493C">
              <w:rPr>
                <w:b/>
                <w:lang w:eastAsia="en-US"/>
              </w:rPr>
              <w:t>76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6C493C" w:rsidP="00D93CB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Wages paid to certain public sector employees</w:t>
            </w:r>
            <w:r w:rsidR="00D93CB9">
              <w:rPr>
                <w:lang w:eastAsia="en-US"/>
              </w:rPr>
              <w:t xml:space="preserve"> –</w:t>
            </w:r>
            <w:r w:rsidR="00767E92">
              <w:rPr>
                <w:lang w:eastAsia="en-US"/>
              </w:rPr>
              <w:t xml:space="preserve"> </w:t>
            </w:r>
            <w:r w:rsidR="00F44A8D"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6C493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6C493C">
              <w:rPr>
                <w:lang w:eastAsia="en-US"/>
              </w:rPr>
              <w:t>30 June 2011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6C493C">
            <w:pPr>
              <w:jc w:val="both"/>
            </w:pPr>
            <w:r>
              <w:t>Status: Current</w:t>
            </w:r>
            <w:r w:rsidR="00BB7D19">
              <w:t xml:space="preserve"> – </w:t>
            </w:r>
            <w:r w:rsidR="006C493C">
              <w:t>1 July 2011</w:t>
            </w:r>
          </w:p>
        </w:tc>
      </w:tr>
      <w:tr w:rsidR="00310E54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D93CB9">
            <w:pPr>
              <w:jc w:val="both"/>
            </w:pPr>
            <w:r>
              <w:t xml:space="preserve">Previous Circular: </w:t>
            </w:r>
            <w:r w:rsidR="00692CD4">
              <w:t>-</w:t>
            </w:r>
            <w:r w:rsidR="00767E92">
              <w:t>PT</w:t>
            </w:r>
            <w:r w:rsidR="006C493C">
              <w:t>X025</w:t>
            </w:r>
          </w:p>
        </w:tc>
      </w:tr>
    </w:tbl>
    <w:p w:rsidR="00F44A8D" w:rsidRPr="00AD4741" w:rsidRDefault="00BB7D19" w:rsidP="004E577D">
      <w:pPr>
        <w:pStyle w:val="Heading1"/>
        <w:spacing w:before="60" w:after="60" w:line="240" w:lineRule="auto"/>
        <w:ind w:left="1701" w:hanging="567"/>
        <w:jc w:val="both"/>
      </w:pPr>
      <w:r>
        <w:t>Preamble</w:t>
      </w:r>
    </w:p>
    <w:p w:rsidR="00D93CB9" w:rsidRDefault="00D93CB9" w:rsidP="004E2F43">
      <w:pPr>
        <w:tabs>
          <w:tab w:val="left" w:pos="426"/>
        </w:tabs>
        <w:adjustRightInd w:val="0"/>
        <w:spacing w:before="60" w:after="60"/>
        <w:ind w:left="1134"/>
        <w:jc w:val="both"/>
        <w:rPr>
          <w:rFonts w:cs="Arial"/>
        </w:rPr>
      </w:pPr>
      <w:r>
        <w:rPr>
          <w:rFonts w:cs="Arial"/>
        </w:rPr>
        <w:t xml:space="preserve">The </w:t>
      </w:r>
      <w:r>
        <w:rPr>
          <w:rFonts w:cs="Arial"/>
          <w:i/>
        </w:rPr>
        <w:t>Payroll Tax Act 2011</w:t>
      </w:r>
      <w:r>
        <w:rPr>
          <w:rFonts w:cs="Arial"/>
        </w:rPr>
        <w:t xml:space="preserve"> (the Act), which commenced on 1 July 2011, rewrites the </w:t>
      </w:r>
      <w:r>
        <w:rPr>
          <w:rFonts w:cs="Arial"/>
          <w:i/>
        </w:rPr>
        <w:t>Payroll Tax Act 1987</w:t>
      </w:r>
      <w:r>
        <w:rPr>
          <w:rFonts w:cs="Arial"/>
        </w:rPr>
        <w:t xml:space="preserve"> (the 1987 Act) and harmonises the payroll tax legislation in the Australian jurisdictions.  </w:t>
      </w:r>
    </w:p>
    <w:p w:rsidR="006C493C" w:rsidRDefault="006C493C" w:rsidP="00DF7ECB">
      <w:pPr>
        <w:shd w:val="clear" w:color="auto" w:fill="FFFFFF"/>
        <w:spacing w:before="60" w:after="60"/>
        <w:ind w:left="1701" w:hanging="567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The Act imposes a liability to ACT payroll tax on an employer for any wages paid or payable by the employer for services rendered or performed in, or partly in, the ACT.</w:t>
      </w:r>
    </w:p>
    <w:p w:rsidR="006C493C" w:rsidRDefault="006C493C" w:rsidP="00DF7ECB">
      <w:pPr>
        <w:shd w:val="clear" w:color="auto" w:fill="FFFFFF"/>
        <w:spacing w:before="60" w:after="60"/>
        <w:ind w:left="1701" w:hanging="567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This circular clarifies the application of the Act to wages paid to certain public sector employees and from certain bank accounts.</w:t>
      </w:r>
    </w:p>
    <w:p w:rsidR="007B467B" w:rsidRPr="004E2F43" w:rsidRDefault="00576D5C" w:rsidP="00DF7ECB">
      <w:pPr>
        <w:spacing w:before="60" w:after="60"/>
        <w:ind w:left="1134"/>
        <w:jc w:val="both"/>
        <w:outlineLvl w:val="1"/>
        <w:rPr>
          <w:rFonts w:cs="Arial"/>
          <w:b/>
          <w:bCs/>
          <w:color w:val="000000"/>
          <w:sz w:val="28"/>
          <w:szCs w:val="28"/>
        </w:rPr>
      </w:pPr>
      <w:r w:rsidRPr="004E2F43">
        <w:rPr>
          <w:rFonts w:cs="Arial"/>
          <w:b/>
          <w:bCs/>
          <w:color w:val="000000"/>
          <w:sz w:val="28"/>
          <w:szCs w:val="28"/>
        </w:rPr>
        <w:t>Circular</w:t>
      </w:r>
    </w:p>
    <w:p w:rsidR="006C493C" w:rsidRDefault="006C493C" w:rsidP="00DF7ECB">
      <w:pPr>
        <w:adjustRightInd w:val="0"/>
        <w:spacing w:before="60" w:after="60"/>
        <w:ind w:left="1701" w:hanging="567"/>
        <w:jc w:val="both"/>
      </w:pPr>
      <w:r>
        <w:rPr>
          <w:rFonts w:cs="Arial"/>
          <w:color w:val="000000"/>
        </w:rPr>
        <w:t>3.</w:t>
      </w:r>
      <w:r>
        <w:rPr>
          <w:rFonts w:cs="Arial"/>
          <w:color w:val="000000"/>
        </w:rPr>
        <w:tab/>
        <w:t>Part 2.9 (schedule 2) of the Act states that w</w:t>
      </w:r>
      <w:r>
        <w:t>ages are exempt wages if they are paid or payable by a territory authority funded solely by money appropriated from the public money of the Territory by an Act unless—</w:t>
      </w:r>
    </w:p>
    <w:p w:rsidR="006C493C" w:rsidRDefault="006C493C" w:rsidP="00DF7ECB">
      <w:pPr>
        <w:adjustRightInd w:val="0"/>
        <w:spacing w:before="60" w:after="60"/>
        <w:ind w:left="2410" w:hanging="709"/>
        <w:jc w:val="both"/>
      </w:pPr>
      <w:r>
        <w:t>(a)</w:t>
      </w:r>
      <w:r>
        <w:tab/>
      </w:r>
      <w:r>
        <w:t xml:space="preserve">the wages are paid or payable by a territory authority prescribed for the </w:t>
      </w:r>
      <w:r>
        <w:rPr>
          <w:i/>
          <w:iCs/>
        </w:rPr>
        <w:t xml:space="preserve">Taxation (Government Business Enterprises) Act 2003, </w:t>
      </w:r>
      <w:r>
        <w:rPr>
          <w:iCs/>
        </w:rPr>
        <w:t>section 9;</w:t>
      </w:r>
      <w:r>
        <w:t xml:space="preserve"> or</w:t>
      </w:r>
    </w:p>
    <w:p w:rsidR="006C493C" w:rsidRDefault="006C493C" w:rsidP="00DF7ECB">
      <w:pPr>
        <w:adjustRightInd w:val="0"/>
        <w:spacing w:before="60" w:after="60"/>
        <w:ind w:left="2410" w:hanging="709"/>
        <w:jc w:val="both"/>
        <w:rPr>
          <w:rFonts w:cs="Arial"/>
          <w:i/>
          <w:lang w:eastAsia="en-US"/>
        </w:rPr>
      </w:pPr>
      <w:r>
        <w:t>(b)</w:t>
      </w:r>
      <w:r>
        <w:tab/>
      </w:r>
      <w:proofErr w:type="gramStart"/>
      <w:r>
        <w:t>the</w:t>
      </w:r>
      <w:proofErr w:type="gramEnd"/>
      <w:r>
        <w:t xml:space="preserve"> wages are paid or payable by a territory authority to which a direction under the </w:t>
      </w:r>
      <w:r>
        <w:rPr>
          <w:i/>
          <w:iCs/>
        </w:rPr>
        <w:t>Taxation (Government Business Enterprises) Act 2003</w:t>
      </w:r>
      <w:r>
        <w:t xml:space="preserve">, section 10 applies to make the authority liable to tax under the </w:t>
      </w:r>
      <w:r>
        <w:rPr>
          <w:i/>
        </w:rPr>
        <w:t>Payroll Tax Act 2011.</w:t>
      </w:r>
    </w:p>
    <w:p w:rsidR="006C493C" w:rsidRDefault="006C493C" w:rsidP="00DF7ECB">
      <w:pPr>
        <w:adjustRightInd w:val="0"/>
        <w:spacing w:before="60" w:after="60"/>
        <w:ind w:left="1701" w:hanging="567"/>
        <w:jc w:val="both"/>
        <w:rPr>
          <w:rFonts w:cs="Times New Roman"/>
        </w:rPr>
      </w:pPr>
      <w:r>
        <w:rPr>
          <w:rFonts w:cs="Arial"/>
          <w:color w:val="000000"/>
        </w:rPr>
        <w:t>4.</w:t>
      </w:r>
      <w:r>
        <w:rPr>
          <w:rFonts w:cs="Arial"/>
          <w:color w:val="000000"/>
        </w:rPr>
        <w:tab/>
        <w:t xml:space="preserve">Wages are exempt if they are paid or payable from a bank </w:t>
      </w:r>
      <w:r>
        <w:t>account (p</w:t>
      </w:r>
      <w:r>
        <w:rPr>
          <w:rFonts w:cs="Arial"/>
          <w:color w:val="000000"/>
        </w:rPr>
        <w:t xml:space="preserve">art 2.8, schedule 2) of the Act </w:t>
      </w:r>
      <w:r>
        <w:t xml:space="preserve">kept under the </w:t>
      </w:r>
      <w:r>
        <w:rPr>
          <w:i/>
          <w:iCs/>
        </w:rPr>
        <w:t>Financial Management Act 1996</w:t>
      </w:r>
      <w:r>
        <w:t>, part 5,</w:t>
      </w:r>
      <w:r>
        <w:rPr>
          <w:rFonts w:cs="Arial"/>
          <w:color w:val="000000"/>
        </w:rPr>
        <w:t xml:space="preserve"> </w:t>
      </w:r>
      <w:r>
        <w:t>unless—</w:t>
      </w:r>
    </w:p>
    <w:p w:rsidR="006C493C" w:rsidRDefault="006C493C" w:rsidP="00DF7ECB">
      <w:pPr>
        <w:adjustRightInd w:val="0"/>
        <w:spacing w:before="60" w:after="60"/>
        <w:ind w:left="2410" w:hanging="709"/>
        <w:jc w:val="both"/>
      </w:pPr>
      <w:r>
        <w:t>(a)</w:t>
      </w:r>
      <w:r>
        <w:tab/>
      </w:r>
      <w:proofErr w:type="gramStart"/>
      <w:r>
        <w:t>the</w:t>
      </w:r>
      <w:proofErr w:type="gramEnd"/>
      <w:r>
        <w:t xml:space="preserve"> bank account is nominated by the Minister for this paragraph; or</w:t>
      </w:r>
    </w:p>
    <w:p w:rsidR="006C493C" w:rsidRDefault="00DF7ECB" w:rsidP="00DF7ECB">
      <w:pPr>
        <w:adjustRightInd w:val="0"/>
        <w:spacing w:before="60" w:after="60"/>
        <w:ind w:left="2410" w:hanging="709"/>
        <w:jc w:val="both"/>
      </w:pPr>
      <w:r>
        <w:t>(b)</w:t>
      </w:r>
      <w:r w:rsidR="006C493C">
        <w:tab/>
      </w:r>
      <w:r w:rsidR="006C493C">
        <w:t>the wages are paid or payable by an entity prescribed for the</w:t>
      </w:r>
      <w:r w:rsidR="006C493C">
        <w:t xml:space="preserve"> </w:t>
      </w:r>
      <w:r w:rsidR="006C493C">
        <w:rPr>
          <w:i/>
          <w:iCs/>
        </w:rPr>
        <w:t>Taxation (Government Business Enterprises) Act 2003</w:t>
      </w:r>
      <w:r w:rsidR="006C493C">
        <w:t>, section 9; or</w:t>
      </w:r>
    </w:p>
    <w:p w:rsidR="006C493C" w:rsidRDefault="006C493C" w:rsidP="00DF7ECB">
      <w:pPr>
        <w:adjustRightInd w:val="0"/>
        <w:spacing w:before="60" w:after="60"/>
        <w:ind w:left="2410" w:hanging="709"/>
        <w:jc w:val="both"/>
      </w:pPr>
      <w:r>
        <w:t>(c)</w:t>
      </w:r>
      <w:r w:rsidR="00DF7ECB">
        <w:tab/>
      </w:r>
      <w:proofErr w:type="gramStart"/>
      <w:r>
        <w:t>the</w:t>
      </w:r>
      <w:proofErr w:type="gramEnd"/>
      <w:r>
        <w:t xml:space="preserve"> wages are paid or payable by an entity to which a direction under the </w:t>
      </w:r>
      <w:r>
        <w:rPr>
          <w:i/>
          <w:iCs/>
        </w:rPr>
        <w:t>Taxation (Government Business Enterprises) Act 2003</w:t>
      </w:r>
      <w:r>
        <w:t xml:space="preserve">, section 10 applies to make the entity liable to tax under the </w:t>
      </w:r>
      <w:r>
        <w:rPr>
          <w:i/>
        </w:rPr>
        <w:t>Payroll Tax Act 2011</w:t>
      </w:r>
      <w:r>
        <w:t>.</w:t>
      </w:r>
    </w:p>
    <w:p w:rsidR="006C493C" w:rsidRDefault="00DF7ECB" w:rsidP="00DF7ECB">
      <w:pPr>
        <w:adjustRightInd w:val="0"/>
        <w:spacing w:before="60" w:after="60"/>
        <w:ind w:left="1701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</w:t>
      </w:r>
      <w:r w:rsidR="006C493C">
        <w:rPr>
          <w:rFonts w:cs="Arial"/>
          <w:color w:val="000000"/>
        </w:rPr>
        <w:tab/>
        <w:t>A nomination under 4(a) is a disallowable instrument.</w:t>
      </w:r>
    </w:p>
    <w:p w:rsidR="006C493C" w:rsidRDefault="00813353" w:rsidP="00DF7ECB">
      <w:pPr>
        <w:tabs>
          <w:tab w:val="left" w:pos="1305"/>
        </w:tabs>
        <w:adjustRightInd w:val="0"/>
        <w:ind w:left="1134"/>
        <w:rPr>
          <w:rFonts w:cs="Arial"/>
          <w:bCs/>
        </w:rPr>
      </w:pPr>
      <w:r>
        <w:rPr>
          <w:rFonts w:cs="Arial"/>
          <w:bCs/>
        </w:rPr>
        <w:t>SIGNED</w:t>
      </w:r>
    </w:p>
    <w:p w:rsidR="006C493C" w:rsidRDefault="006C493C" w:rsidP="00DF7ECB">
      <w:pPr>
        <w:adjustRightInd w:val="0"/>
        <w:ind w:left="1134"/>
        <w:rPr>
          <w:rFonts w:cs="Arial"/>
          <w:bCs/>
        </w:rPr>
      </w:pPr>
    </w:p>
    <w:p w:rsidR="006C493C" w:rsidRDefault="006C493C" w:rsidP="00DF7ECB">
      <w:pPr>
        <w:adjustRightInd w:val="0"/>
        <w:ind w:left="1134"/>
        <w:rPr>
          <w:rFonts w:cs="Arial"/>
          <w:bCs/>
        </w:rPr>
      </w:pPr>
      <w:r>
        <w:rPr>
          <w:rFonts w:cs="Arial"/>
          <w:bCs/>
        </w:rPr>
        <w:t>David Read</w:t>
      </w:r>
    </w:p>
    <w:p w:rsidR="006C493C" w:rsidRDefault="006C493C" w:rsidP="00DF7ECB">
      <w:pPr>
        <w:adjustRightInd w:val="0"/>
        <w:ind w:left="1134"/>
        <w:rPr>
          <w:rFonts w:cs="Arial"/>
        </w:rPr>
      </w:pPr>
      <w:r>
        <w:rPr>
          <w:rFonts w:cs="Arial"/>
        </w:rPr>
        <w:t>Commissioner for ACT Revenue</w:t>
      </w:r>
    </w:p>
    <w:p w:rsidR="00861817" w:rsidRPr="00861817" w:rsidRDefault="00DF7ECB" w:rsidP="00813353">
      <w:pPr>
        <w:adjustRightInd w:val="0"/>
        <w:ind w:left="1134"/>
        <w:sectPr w:rsidR="00861817" w:rsidRPr="00861817" w:rsidSect="00813353">
          <w:headerReference w:type="default" r:id="rId10"/>
          <w:footerReference w:type="default" r:id="rId11"/>
          <w:footerReference w:type="first" r:id="rId12"/>
          <w:pgSz w:w="11910" w:h="16840" w:code="9"/>
          <w:pgMar w:top="-9" w:right="995" w:bottom="568" w:left="0" w:header="0" w:footer="318" w:gutter="0"/>
          <w:cols w:space="720"/>
          <w:titlePg/>
          <w:docGrid w:linePitch="326"/>
        </w:sectPr>
      </w:pPr>
      <w:r>
        <w:rPr>
          <w:rFonts w:cs="Arial"/>
        </w:rPr>
        <w:t>30 June 2011</w:t>
      </w:r>
      <w:bookmarkStart w:id="0" w:name="_GoBack"/>
      <w:bookmarkEnd w:id="0"/>
    </w:p>
    <w:p w:rsidR="00C75578" w:rsidRPr="000715D3" w:rsidRDefault="00C75578" w:rsidP="00813353">
      <w:pPr>
        <w:adjustRightInd w:val="0"/>
        <w:spacing w:before="60" w:after="60"/>
        <w:jc w:val="both"/>
        <w:rPr>
          <w:rFonts w:cs="Arial"/>
        </w:rPr>
      </w:pPr>
    </w:p>
    <w:sectPr w:rsidR="00C75578" w:rsidRPr="000715D3" w:rsidSect="008A28D0">
      <w:footerReference w:type="even" r:id="rId13"/>
      <w:footerReference w:type="default" r:id="rId14"/>
      <w:headerReference w:type="first" r:id="rId15"/>
      <w:footerReference w:type="first" r:id="rId16"/>
      <w:pgSz w:w="11910" w:h="16840" w:code="9"/>
      <w:pgMar w:top="851" w:right="1278" w:bottom="1100" w:left="23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7B" w:rsidRDefault="007B467B" w:rsidP="005B0828">
      <w:r>
        <w:separator/>
      </w:r>
    </w:p>
  </w:endnote>
  <w:endnote w:type="continuationSeparator" w:id="0">
    <w:p w:rsidR="007B467B" w:rsidRDefault="007B467B" w:rsidP="005B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Default="007B467B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Pr="00F44A8D" w:rsidRDefault="007B467B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Default="003C71F0" w:rsidP="007B46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B46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67B" w:rsidRDefault="007B467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Default="007B467B" w:rsidP="007B467B">
    <w:pPr>
      <w:pStyle w:val="Footer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Default="002F22A2" w:rsidP="007B467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6D5C">
      <w:rPr>
        <w:noProof/>
      </w:rPr>
      <w:t>12</w:t>
    </w:r>
    <w:r>
      <w:rPr>
        <w:noProof/>
      </w:rPr>
      <w:fldChar w:fldCharType="end"/>
    </w:r>
  </w:p>
  <w:p w:rsidR="007B467B" w:rsidRPr="004F46AC" w:rsidRDefault="007B467B">
    <w:pPr>
      <w:pStyle w:val="Footer"/>
      <w:rPr>
        <w:rFonts w:cs="Arial"/>
        <w:color w:val="FFFFFF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7B" w:rsidRDefault="007B467B" w:rsidP="005B0828">
      <w:r w:rsidRPr="005B0828">
        <w:rPr>
          <w:color w:val="000000"/>
        </w:rPr>
        <w:separator/>
      </w:r>
    </w:p>
  </w:footnote>
  <w:footnote w:type="continuationSeparator" w:id="0">
    <w:p w:rsidR="007B467B" w:rsidRDefault="007B467B" w:rsidP="005B0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Default="007B467B" w:rsidP="00822F9C">
    <w:pPr>
      <w:pStyle w:val="Header"/>
      <w:tabs>
        <w:tab w:val="clear" w:pos="4513"/>
        <w:tab w:val="clear" w:pos="9026"/>
      </w:tabs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7B" w:rsidRPr="007110A2" w:rsidRDefault="007B467B" w:rsidP="007B4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40807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1345C5"/>
    <w:multiLevelType w:val="hybridMultilevel"/>
    <w:tmpl w:val="40D248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285FE2"/>
    <w:multiLevelType w:val="hybridMultilevel"/>
    <w:tmpl w:val="461AC206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255574B"/>
    <w:multiLevelType w:val="hybridMultilevel"/>
    <w:tmpl w:val="22C2D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451D6"/>
    <w:multiLevelType w:val="hybridMultilevel"/>
    <w:tmpl w:val="F18ADE8E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770C8140">
      <w:start w:val="1"/>
      <w:numFmt w:val="lowerLetter"/>
      <w:lvlText w:val="%2."/>
      <w:lvlJc w:val="left"/>
      <w:pPr>
        <w:ind w:left="2345" w:hanging="360"/>
      </w:pPr>
      <w:rPr>
        <w:rFonts w:cs="Times New Roman" w:hint="default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BB66AF"/>
    <w:multiLevelType w:val="hybridMultilevel"/>
    <w:tmpl w:val="38C8D392"/>
    <w:lvl w:ilvl="0" w:tplc="E1565F5E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FAA0D49"/>
    <w:multiLevelType w:val="hybridMultilevel"/>
    <w:tmpl w:val="74E4EB90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>
    <w:nsid w:val="453845B3"/>
    <w:multiLevelType w:val="hybridMultilevel"/>
    <w:tmpl w:val="BA7CAABA"/>
    <w:lvl w:ilvl="0" w:tplc="2C2ABB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DF2C45"/>
    <w:multiLevelType w:val="hybridMultilevel"/>
    <w:tmpl w:val="E256B0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70C23"/>
    <w:multiLevelType w:val="hybridMultilevel"/>
    <w:tmpl w:val="8F6EF0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E3728FA"/>
    <w:multiLevelType w:val="hybridMultilevel"/>
    <w:tmpl w:val="37C4C5B2"/>
    <w:lvl w:ilvl="0" w:tplc="FCBEB9FA">
      <w:start w:val="51"/>
      <w:numFmt w:val="bullet"/>
      <w:lvlText w:val="•"/>
      <w:lvlJc w:val="left"/>
      <w:pPr>
        <w:ind w:left="1069" w:hanging="360"/>
      </w:pPr>
      <w:rPr>
        <w:rFonts w:ascii="Calibri" w:eastAsia="Times New Roman" w:hAnsi="Calibri" w:cs="SymbolMT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ECB59DF"/>
    <w:multiLevelType w:val="hybridMultilevel"/>
    <w:tmpl w:val="F904D254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0334DD5"/>
    <w:multiLevelType w:val="hybridMultilevel"/>
    <w:tmpl w:val="47D07F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A87087"/>
    <w:multiLevelType w:val="hybridMultilevel"/>
    <w:tmpl w:val="67E666C8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AE20D07"/>
    <w:multiLevelType w:val="hybridMultilevel"/>
    <w:tmpl w:val="D3A02E94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2"/>
  </w:num>
  <w:num w:numId="8">
    <w:abstractNumId w:val="14"/>
  </w:num>
  <w:num w:numId="9">
    <w:abstractNumId w:val="13"/>
  </w:num>
  <w:num w:numId="10">
    <w:abstractNumId w:val="9"/>
  </w:num>
  <w:num w:numId="11">
    <w:abstractNumId w:val="4"/>
  </w:num>
  <w:num w:numId="12">
    <w:abstractNumId w:val="15"/>
  </w:num>
  <w:num w:numId="13">
    <w:abstractNumId w:val="7"/>
  </w:num>
  <w:num w:numId="14">
    <w:abstractNumId w:val="3"/>
  </w:num>
  <w:num w:numId="15">
    <w:abstractNumId w:val="12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28"/>
    <w:rsid w:val="00063029"/>
    <w:rsid w:val="000D649E"/>
    <w:rsid w:val="000D64C3"/>
    <w:rsid w:val="00105197"/>
    <w:rsid w:val="00163CCB"/>
    <w:rsid w:val="00193116"/>
    <w:rsid w:val="001B5315"/>
    <w:rsid w:val="00210C1D"/>
    <w:rsid w:val="002240B1"/>
    <w:rsid w:val="002265B2"/>
    <w:rsid w:val="00244887"/>
    <w:rsid w:val="002713A8"/>
    <w:rsid w:val="00275FAE"/>
    <w:rsid w:val="002F22A2"/>
    <w:rsid w:val="0030677F"/>
    <w:rsid w:val="00310E54"/>
    <w:rsid w:val="00341AF6"/>
    <w:rsid w:val="00391CB7"/>
    <w:rsid w:val="003A7949"/>
    <w:rsid w:val="003C71F0"/>
    <w:rsid w:val="003D623B"/>
    <w:rsid w:val="003E285F"/>
    <w:rsid w:val="004262BA"/>
    <w:rsid w:val="0046639F"/>
    <w:rsid w:val="004C477A"/>
    <w:rsid w:val="004E2F43"/>
    <w:rsid w:val="004E4136"/>
    <w:rsid w:val="004E577D"/>
    <w:rsid w:val="00537051"/>
    <w:rsid w:val="00576D5C"/>
    <w:rsid w:val="005B0828"/>
    <w:rsid w:val="00682A86"/>
    <w:rsid w:val="00692CD4"/>
    <w:rsid w:val="006B0ECA"/>
    <w:rsid w:val="006B2035"/>
    <w:rsid w:val="006C493C"/>
    <w:rsid w:val="00712A2B"/>
    <w:rsid w:val="00767E92"/>
    <w:rsid w:val="00773F5B"/>
    <w:rsid w:val="007B467B"/>
    <w:rsid w:val="007C2327"/>
    <w:rsid w:val="00813353"/>
    <w:rsid w:val="00822F9C"/>
    <w:rsid w:val="00861817"/>
    <w:rsid w:val="008A28D0"/>
    <w:rsid w:val="008A72D3"/>
    <w:rsid w:val="008B1CDE"/>
    <w:rsid w:val="008E4C38"/>
    <w:rsid w:val="0096709E"/>
    <w:rsid w:val="009955D1"/>
    <w:rsid w:val="00A17F5F"/>
    <w:rsid w:val="00A50562"/>
    <w:rsid w:val="00A61156"/>
    <w:rsid w:val="00A812EA"/>
    <w:rsid w:val="00AA3E6E"/>
    <w:rsid w:val="00AD4741"/>
    <w:rsid w:val="00AF7801"/>
    <w:rsid w:val="00B4488E"/>
    <w:rsid w:val="00B87EF3"/>
    <w:rsid w:val="00BB2D4C"/>
    <w:rsid w:val="00BB7D19"/>
    <w:rsid w:val="00BE0B6D"/>
    <w:rsid w:val="00BF57BC"/>
    <w:rsid w:val="00BF64D2"/>
    <w:rsid w:val="00C24521"/>
    <w:rsid w:val="00C75578"/>
    <w:rsid w:val="00C82405"/>
    <w:rsid w:val="00C8554F"/>
    <w:rsid w:val="00CB09ED"/>
    <w:rsid w:val="00CD0ACD"/>
    <w:rsid w:val="00CD6913"/>
    <w:rsid w:val="00D908F9"/>
    <w:rsid w:val="00D93CB9"/>
    <w:rsid w:val="00DA0B26"/>
    <w:rsid w:val="00DA6ED5"/>
    <w:rsid w:val="00DF7ECB"/>
    <w:rsid w:val="00F44A8D"/>
    <w:rsid w:val="00F80CEA"/>
    <w:rsid w:val="00F82204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7B467B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B467B"/>
    <w:rPr>
      <w:rFonts w:cs="Times New Roman"/>
    </w:rPr>
  </w:style>
  <w:style w:type="paragraph" w:customStyle="1" w:styleId="Level2">
    <w:name w:val="Level 2"/>
    <w:basedOn w:val="Normal"/>
    <w:uiPriority w:val="99"/>
    <w:rsid w:val="007B467B"/>
    <w:pPr>
      <w:widowControl/>
      <w:suppressAutoHyphens w:val="0"/>
      <w:autoSpaceDE/>
      <w:autoSpaceDN/>
      <w:spacing w:line="240" w:lineRule="atLeast"/>
      <w:textAlignment w:val="auto"/>
    </w:pPr>
    <w:rPr>
      <w:rFonts w:ascii="Arial" w:eastAsia="Times" w:hAnsi="Arial" w:cs="Arial"/>
      <w:bCs/>
      <w:color w:val="808000"/>
      <w:sz w:val="28"/>
      <w:szCs w:val="28"/>
      <w:lang w:eastAsia="en-US"/>
    </w:rPr>
  </w:style>
  <w:style w:type="paragraph" w:customStyle="1" w:styleId="NormalText">
    <w:name w:val="Normal Text"/>
    <w:basedOn w:val="Normal"/>
    <w:uiPriority w:val="99"/>
    <w:rsid w:val="007B467B"/>
    <w:pPr>
      <w:widowControl/>
      <w:suppressAutoHyphens w:val="0"/>
      <w:adjustRightInd w:val="0"/>
      <w:jc w:val="both"/>
      <w:textAlignment w:val="auto"/>
    </w:pPr>
    <w:rPr>
      <w:rFonts w:ascii="Arial" w:hAnsi="Arial" w:cs="Arial"/>
      <w:color w:val="000000"/>
      <w:sz w:val="22"/>
      <w:szCs w:val="22"/>
    </w:rPr>
  </w:style>
  <w:style w:type="paragraph" w:customStyle="1" w:styleId="OSRBodyText">
    <w:name w:val="OSR Body Text"/>
    <w:basedOn w:val="Normal"/>
    <w:uiPriority w:val="99"/>
    <w:rsid w:val="00576D5C"/>
    <w:pPr>
      <w:widowControl/>
      <w:suppressAutoHyphens w:val="0"/>
      <w:autoSpaceDE/>
      <w:autoSpaceDN/>
      <w:spacing w:after="220"/>
      <w:textAlignment w:val="auto"/>
    </w:pPr>
    <w:rPr>
      <w:rFonts w:ascii="Arial" w:eastAsia="Times" w:hAnsi="Arial" w:cs="Arial"/>
      <w:sz w:val="22"/>
      <w:lang w:eastAsia="en-US"/>
    </w:rPr>
  </w:style>
  <w:style w:type="paragraph" w:customStyle="1" w:styleId="Default">
    <w:name w:val="Default"/>
    <w:uiPriority w:val="99"/>
    <w:rsid w:val="00BF57BC"/>
    <w:pPr>
      <w:autoSpaceDE w:val="0"/>
      <w:adjustRightInd w:val="0"/>
      <w:spacing w:after="0" w:line="240" w:lineRule="auto"/>
      <w:textAlignment w:val="auto"/>
    </w:pPr>
    <w:rPr>
      <w:rFonts w:ascii="Times New Roman" w:eastAsia="Times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99"/>
    <w:rsid w:val="007B467B"/>
    <w:pPr>
      <w:autoSpaceDN/>
      <w:spacing w:after="0" w:line="240" w:lineRule="auto"/>
      <w:textAlignment w:val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B467B"/>
    <w:rPr>
      <w:rFonts w:cs="Times New Roman"/>
    </w:rPr>
  </w:style>
  <w:style w:type="paragraph" w:customStyle="1" w:styleId="Level2">
    <w:name w:val="Level 2"/>
    <w:basedOn w:val="Normal"/>
    <w:uiPriority w:val="99"/>
    <w:rsid w:val="007B467B"/>
    <w:pPr>
      <w:widowControl/>
      <w:suppressAutoHyphens w:val="0"/>
      <w:autoSpaceDE/>
      <w:autoSpaceDN/>
      <w:spacing w:line="240" w:lineRule="atLeast"/>
      <w:textAlignment w:val="auto"/>
    </w:pPr>
    <w:rPr>
      <w:rFonts w:ascii="Arial" w:eastAsia="Times" w:hAnsi="Arial" w:cs="Arial"/>
      <w:bCs/>
      <w:color w:val="808000"/>
      <w:sz w:val="28"/>
      <w:szCs w:val="28"/>
      <w:lang w:eastAsia="en-US"/>
    </w:rPr>
  </w:style>
  <w:style w:type="paragraph" w:customStyle="1" w:styleId="NormalText">
    <w:name w:val="Normal Text"/>
    <w:basedOn w:val="Normal"/>
    <w:uiPriority w:val="99"/>
    <w:rsid w:val="007B467B"/>
    <w:pPr>
      <w:widowControl/>
      <w:suppressAutoHyphens w:val="0"/>
      <w:adjustRightInd w:val="0"/>
      <w:jc w:val="both"/>
      <w:textAlignment w:val="auto"/>
    </w:pPr>
    <w:rPr>
      <w:rFonts w:ascii="Arial" w:hAnsi="Arial" w:cs="Arial"/>
      <w:color w:val="000000"/>
      <w:sz w:val="22"/>
      <w:szCs w:val="22"/>
    </w:rPr>
  </w:style>
  <w:style w:type="paragraph" w:customStyle="1" w:styleId="OSRBodyText">
    <w:name w:val="OSR Body Text"/>
    <w:basedOn w:val="Normal"/>
    <w:uiPriority w:val="99"/>
    <w:rsid w:val="00576D5C"/>
    <w:pPr>
      <w:widowControl/>
      <w:suppressAutoHyphens w:val="0"/>
      <w:autoSpaceDE/>
      <w:autoSpaceDN/>
      <w:spacing w:after="220"/>
      <w:textAlignment w:val="auto"/>
    </w:pPr>
    <w:rPr>
      <w:rFonts w:ascii="Arial" w:eastAsia="Times" w:hAnsi="Arial" w:cs="Arial"/>
      <w:sz w:val="22"/>
      <w:lang w:eastAsia="en-US"/>
    </w:rPr>
  </w:style>
  <w:style w:type="paragraph" w:customStyle="1" w:styleId="Default">
    <w:name w:val="Default"/>
    <w:uiPriority w:val="99"/>
    <w:rsid w:val="00BF57BC"/>
    <w:pPr>
      <w:autoSpaceDE w:val="0"/>
      <w:adjustRightInd w:val="0"/>
      <w:spacing w:after="0" w:line="240" w:lineRule="auto"/>
      <w:textAlignment w:val="auto"/>
    </w:pPr>
    <w:rPr>
      <w:rFonts w:ascii="Times New Roman" w:eastAsia="Times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F0943-A1C7-47D4-91E4-072143CA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Teja</cp:lastModifiedBy>
  <cp:revision>4</cp:revision>
  <cp:lastPrinted>2017-05-08T23:51:00Z</cp:lastPrinted>
  <dcterms:created xsi:type="dcterms:W3CDTF">2017-05-20T11:43:00Z</dcterms:created>
  <dcterms:modified xsi:type="dcterms:W3CDTF">2017-05-20T12:04:00Z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