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A" w:rsidRDefault="00105197" w:rsidP="00DA0B26">
      <w:pPr>
        <w:pStyle w:val="BodyText"/>
        <w:overflowPunct w:val="0"/>
        <w:ind w:right="-14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<v:textbox>
              <w:txbxContent>
                <w:p w:rsidR="00861817" w:rsidRPr="006B0ECA" w:rsidRDefault="00861817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B0ECA">
                    <w:rPr>
                      <w:b/>
                      <w:color w:val="FFFFFF" w:themeColor="background1"/>
                      <w:sz w:val="40"/>
                      <w:szCs w:val="40"/>
                    </w:rPr>
                    <w:t>ACT REVENUE OFFICE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<v:textbox>
              <w:txbxContent>
                <w:p w:rsidR="00861817" w:rsidRPr="00D908F9" w:rsidRDefault="00861817" w:rsidP="00391CB7">
                  <w:pPr>
                    <w:pStyle w:val="Header"/>
                    <w:tabs>
                      <w:tab w:val="clear" w:pos="4513"/>
                    </w:tabs>
                    <w:jc w:val="both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ACT Revenue Office</w:t>
                  </w:r>
                </w:p>
              </w:txbxContent>
            </v:textbox>
          </v:rect>
        </w:pict>
      </w:r>
      <w:r w:rsidR="00391CB7">
        <w:rPr>
          <w:noProof/>
        </w:rPr>
        <w:drawing>
          <wp:inline distT="0" distB="0" distL="0" distR="0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Pr="00CD6913" w:rsidRDefault="006B0ECA" w:rsidP="00AD4741">
      <w:pPr>
        <w:ind w:left="1134"/>
        <w:jc w:val="both"/>
        <w:rPr>
          <w:rFonts w:asciiTheme="minorHAnsi" w:hAnsiTheme="minorHAnsi"/>
        </w:rPr>
      </w:pPr>
    </w:p>
    <w:tbl>
      <w:tblPr>
        <w:tblW w:w="4330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9394"/>
      </w:tblGrid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F44A8D" w:rsidRPr="00705A5A" w:rsidRDefault="00F44A8D" w:rsidP="009955D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REVENUE CIRCULAR PTA0</w:t>
            </w:r>
            <w:r w:rsidR="009955D1">
              <w:rPr>
                <w:b/>
                <w:lang w:eastAsia="en-US"/>
              </w:rPr>
              <w:t>3</w:t>
            </w:r>
            <w:r w:rsidR="00861817">
              <w:rPr>
                <w:b/>
                <w:lang w:eastAsia="en-US"/>
              </w:rPr>
              <w:t>3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861817" w:rsidP="00AD474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Contractors: Services Ancillary to the Supply of Goods</w:t>
            </w:r>
            <w:r w:rsidR="00F44A8D">
              <w:rPr>
                <w:lang w:eastAsia="en-US"/>
              </w:rPr>
              <w:t xml:space="preserve"> – </w:t>
            </w:r>
            <w:r w:rsidR="00F44A8D" w:rsidRPr="00F44A8D">
              <w:rPr>
                <w:i/>
                <w:lang w:eastAsia="en-US"/>
              </w:rPr>
              <w:t>Payroll Tax Act 2011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8618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Issue Date: </w:t>
            </w:r>
            <w:r w:rsidR="00861817">
              <w:rPr>
                <w:lang w:eastAsia="en-US"/>
              </w:rPr>
              <w:t>25 February 2016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861817">
            <w:pPr>
              <w:jc w:val="both"/>
            </w:pPr>
            <w:r>
              <w:t>Status: Current</w:t>
            </w:r>
            <w:r w:rsidR="00BB7D19">
              <w:t xml:space="preserve"> – Effective </w:t>
            </w:r>
            <w:r w:rsidR="00861817">
              <w:t>29 February 2016</w:t>
            </w:r>
          </w:p>
        </w:tc>
      </w:tr>
      <w:tr w:rsidR="00310E54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310E54" w:rsidRDefault="00310E54" w:rsidP="00AD4741">
            <w:pPr>
              <w:jc w:val="both"/>
            </w:pPr>
            <w:r>
              <w:t xml:space="preserve">Previous Circular: </w:t>
            </w:r>
            <w:r w:rsidR="009955D1">
              <w:t>-</w:t>
            </w:r>
          </w:p>
        </w:tc>
      </w:tr>
    </w:tbl>
    <w:p w:rsidR="00F44A8D" w:rsidRPr="00AD4741" w:rsidRDefault="00BB7D19" w:rsidP="00B87EF3">
      <w:pPr>
        <w:pStyle w:val="Heading1"/>
        <w:spacing w:before="60" w:after="60" w:line="240" w:lineRule="auto"/>
        <w:ind w:left="1701" w:hanging="567"/>
        <w:jc w:val="both"/>
      </w:pPr>
      <w:r>
        <w:t>Preamble</w:t>
      </w:r>
    </w:p>
    <w:p w:rsidR="00861817" w:rsidRPr="00217999" w:rsidRDefault="00861817" w:rsidP="00861817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before="120" w:after="120"/>
        <w:ind w:left="1701" w:hanging="567"/>
        <w:jc w:val="both"/>
        <w:textAlignment w:val="auto"/>
      </w:pPr>
      <w:r>
        <w:t xml:space="preserve">Under sections 33 and 34 of the </w:t>
      </w:r>
      <w:r w:rsidRPr="00217999">
        <w:rPr>
          <w:i/>
        </w:rPr>
        <w:t>Payroll Tax Act 2011</w:t>
      </w:r>
      <w:r w:rsidRPr="00217999">
        <w:t xml:space="preserve"> (the Act)</w:t>
      </w:r>
      <w:r>
        <w:t>, p</w:t>
      </w:r>
      <w:r w:rsidRPr="00217999">
        <w:t>arties to a ‘relevant contract’ are taken to be emplo</w:t>
      </w:r>
      <w:r>
        <w:t xml:space="preserve">yers and employees </w:t>
      </w:r>
      <w:r w:rsidRPr="00217999">
        <w:t>and payments made under a contract are deemed to be wages (section 35 of the Act). Deemed wages are subject to payroll tax under section 36 of the Act.</w:t>
      </w:r>
    </w:p>
    <w:p w:rsidR="00861817" w:rsidRPr="00DA42F3" w:rsidRDefault="00861817" w:rsidP="00861817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before="120" w:after="120"/>
        <w:ind w:left="1701" w:hanging="567"/>
        <w:jc w:val="both"/>
        <w:textAlignment w:val="auto"/>
      </w:pPr>
      <w:r w:rsidRPr="00DA42F3">
        <w:t xml:space="preserve">While most contracts for the provision of services come within the meaning of </w:t>
      </w:r>
      <w:r w:rsidRPr="002F7A98">
        <w:rPr>
          <w:b/>
          <w:i/>
        </w:rPr>
        <w:t>relevant contract</w:t>
      </w:r>
      <w:r w:rsidRPr="00DA42F3">
        <w:t xml:space="preserve"> under section 32 of the Act, certain types of contracts are specifically excluded from the definition of</w:t>
      </w:r>
      <w:r w:rsidRPr="002F7A98">
        <w:rPr>
          <w:b/>
          <w:i/>
        </w:rPr>
        <w:t xml:space="preserve"> relevant contract</w:t>
      </w:r>
      <w:r w:rsidRPr="00DA42F3">
        <w:t>. One of the exclusions is a contract where the provision of labour is ancillary to the provision of materials and/or equipment (section 32 (2) (a) of the Act).</w:t>
      </w:r>
    </w:p>
    <w:p w:rsidR="00861817" w:rsidRDefault="00861817" w:rsidP="00861817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before="120" w:after="120"/>
        <w:ind w:left="1701" w:hanging="567"/>
        <w:jc w:val="both"/>
        <w:textAlignment w:val="auto"/>
      </w:pPr>
      <w:r w:rsidRPr="00DA42F3">
        <w:t xml:space="preserve">The purpose of this Revenue </w:t>
      </w:r>
      <w:r>
        <w:t>Circular</w:t>
      </w:r>
      <w:r w:rsidRPr="00DA42F3">
        <w:t xml:space="preserve"> is to explain how section 32 (2) (a) of the Act would apply to exclude a contract from the definition of </w:t>
      </w:r>
      <w:r w:rsidRPr="002F7A98">
        <w:rPr>
          <w:b/>
          <w:i/>
        </w:rPr>
        <w:t>relevant contract</w:t>
      </w:r>
      <w:r w:rsidRPr="00DA42F3">
        <w:t>.</w:t>
      </w:r>
    </w:p>
    <w:p w:rsidR="00861817" w:rsidRPr="00DA42F3" w:rsidRDefault="00861817" w:rsidP="00861817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before="120" w:after="120"/>
        <w:ind w:left="1701" w:hanging="567"/>
        <w:jc w:val="both"/>
        <w:textAlignment w:val="auto"/>
      </w:pPr>
      <w:r>
        <w:t>As at the date of issue, this circular is harmonised with NSW Revenue Ruling PTA033 (effective 1 July 2009) and Victorian Revenue Ruling PTA033 (effective 1 July 2007).</w:t>
      </w:r>
    </w:p>
    <w:p w:rsidR="00B87EF3" w:rsidRDefault="00B87EF3" w:rsidP="00B4488E">
      <w:pPr>
        <w:pStyle w:val="Heading1"/>
        <w:spacing w:before="60" w:after="60" w:line="240" w:lineRule="auto"/>
        <w:ind w:left="1134" w:firstLine="0"/>
        <w:jc w:val="both"/>
      </w:pPr>
      <w:r w:rsidRPr="00AD4741">
        <w:rPr>
          <w:rFonts w:asciiTheme="minorHAnsi" w:hAnsiTheme="minorHAnsi"/>
        </w:rPr>
        <w:t>Circular</w:t>
      </w:r>
    </w:p>
    <w:p w:rsidR="00861817" w:rsidRPr="00DA42F3" w:rsidRDefault="00861817" w:rsidP="00B4488E">
      <w:pPr>
        <w:pStyle w:val="Heading2"/>
        <w:spacing w:before="60" w:after="60"/>
        <w:ind w:left="1134" w:firstLine="0"/>
      </w:pPr>
      <w:r w:rsidRPr="00DA42F3">
        <w:t>Services ancillary to the supply of goods</w:t>
      </w:r>
    </w:p>
    <w:p w:rsidR="00861817" w:rsidRPr="00DA42F3" w:rsidRDefault="00861817" w:rsidP="00B4488E">
      <w:pPr>
        <w:widowControl/>
        <w:numPr>
          <w:ilvl w:val="0"/>
          <w:numId w:val="2"/>
        </w:numPr>
        <w:tabs>
          <w:tab w:val="left" w:pos="1701"/>
        </w:tabs>
        <w:suppressAutoHyphens w:val="0"/>
        <w:adjustRightInd w:val="0"/>
        <w:spacing w:before="120" w:after="120"/>
        <w:ind w:left="1701" w:hanging="567"/>
        <w:jc w:val="both"/>
        <w:textAlignment w:val="auto"/>
      </w:pPr>
      <w:r w:rsidRPr="00DA42F3">
        <w:t>Where the amount relating to the provision of materials and/or equipment u</w:t>
      </w:r>
      <w:r>
        <w:t>nder a contract is more than 50 per cent</w:t>
      </w:r>
      <w:r w:rsidRPr="00DA42F3">
        <w:t xml:space="preserve"> of the total contract amount, the provision of labour under the same contract is considered ancillary. There must be evidence to substantiate that the provision of materials and/or equipment is the principal object of the contract.</w:t>
      </w:r>
    </w:p>
    <w:p w:rsidR="00861817" w:rsidRPr="00DA42F3" w:rsidRDefault="00861817" w:rsidP="00B4488E">
      <w:pPr>
        <w:widowControl/>
        <w:numPr>
          <w:ilvl w:val="0"/>
          <w:numId w:val="2"/>
        </w:numPr>
        <w:tabs>
          <w:tab w:val="left" w:pos="1701"/>
        </w:tabs>
        <w:suppressAutoHyphens w:val="0"/>
        <w:adjustRightInd w:val="0"/>
        <w:spacing w:before="120" w:after="120"/>
        <w:ind w:left="1701" w:hanging="567"/>
        <w:jc w:val="both"/>
        <w:textAlignment w:val="auto"/>
      </w:pPr>
      <w:r w:rsidRPr="00DA42F3">
        <w:t xml:space="preserve">The amount attributable to materials and/or equipment must be reasonable, having regard to the type of services provided. In determining what is a reasonable amount, due regard must be given to the current market prices for such materials and equipment. This exemption does not apply if the materials and/or equipment are purchased from the principal or any member of a group (within the meaning of </w:t>
      </w:r>
      <w:r>
        <w:t>p</w:t>
      </w:r>
      <w:r w:rsidRPr="00DA42F3">
        <w:t>art 5 of the Act) to which the principal belongs.</w:t>
      </w:r>
    </w:p>
    <w:p w:rsidR="00F44A8D" w:rsidRDefault="00F44A8D" w:rsidP="00B87EF3">
      <w:pPr>
        <w:pStyle w:val="Heading2"/>
        <w:ind w:left="1701" w:hanging="567"/>
        <w:jc w:val="both"/>
      </w:pPr>
    </w:p>
    <w:p w:rsidR="00861817" w:rsidRPr="00861817" w:rsidRDefault="00861817" w:rsidP="00861817">
      <w:pPr>
        <w:sectPr w:rsidR="00861817" w:rsidRPr="00861817" w:rsidSect="00861817">
          <w:headerReference w:type="default" r:id="rId9"/>
          <w:footerReference w:type="default" r:id="rId10"/>
          <w:footerReference w:type="first" r:id="rId11"/>
          <w:pgSz w:w="11910" w:h="16840" w:code="9"/>
          <w:pgMar w:top="-9" w:right="1278" w:bottom="851" w:left="0" w:header="0" w:footer="318" w:gutter="0"/>
          <w:cols w:space="720"/>
          <w:titlePg/>
          <w:docGrid w:linePitch="326"/>
        </w:sectPr>
      </w:pPr>
    </w:p>
    <w:p w:rsidR="00861817" w:rsidRPr="00DA42F3" w:rsidRDefault="00861817" w:rsidP="00B4488E">
      <w:pPr>
        <w:widowControl/>
        <w:numPr>
          <w:ilvl w:val="0"/>
          <w:numId w:val="2"/>
        </w:numPr>
        <w:suppressAutoHyphens w:val="0"/>
        <w:adjustRightInd w:val="0"/>
        <w:spacing w:before="120" w:after="120"/>
        <w:ind w:left="1418" w:hanging="567"/>
        <w:jc w:val="both"/>
        <w:textAlignment w:val="auto"/>
      </w:pPr>
      <w:r w:rsidRPr="00DA42F3">
        <w:lastRenderedPageBreak/>
        <w:t xml:space="preserve">The principal may </w:t>
      </w:r>
      <w:r>
        <w:t xml:space="preserve">request that </w:t>
      </w:r>
      <w:r w:rsidRPr="00DA42F3">
        <w:t xml:space="preserve">the </w:t>
      </w:r>
      <w:r>
        <w:t>Commissioner for</w:t>
      </w:r>
      <w:r w:rsidRPr="00DA42F3">
        <w:t xml:space="preserve"> </w:t>
      </w:r>
      <w:r>
        <w:t>ACT</w:t>
      </w:r>
      <w:r w:rsidRPr="00DA42F3">
        <w:t xml:space="preserve"> Revenue </w:t>
      </w:r>
      <w:r>
        <w:t xml:space="preserve">apply the exemption </w:t>
      </w:r>
      <w:r w:rsidRPr="00DA42F3">
        <w:t>if:</w:t>
      </w:r>
    </w:p>
    <w:p w:rsidR="00861817" w:rsidRPr="00DA42F3" w:rsidRDefault="00861817" w:rsidP="00B4488E">
      <w:pPr>
        <w:widowControl/>
        <w:numPr>
          <w:ilvl w:val="1"/>
          <w:numId w:val="5"/>
        </w:numPr>
        <w:suppressAutoHyphens w:val="0"/>
        <w:adjustRightInd w:val="0"/>
        <w:spacing w:before="120" w:after="120"/>
        <w:ind w:left="2268" w:hanging="567"/>
        <w:jc w:val="both"/>
        <w:textAlignment w:val="auto"/>
      </w:pPr>
      <w:r w:rsidRPr="00DA42F3">
        <w:t>the 50</w:t>
      </w:r>
      <w:r>
        <w:t xml:space="preserve"> per cent</w:t>
      </w:r>
      <w:r w:rsidRPr="00DA42F3">
        <w:t xml:space="preserve"> criterion is not satisfied, and/or</w:t>
      </w:r>
    </w:p>
    <w:p w:rsidR="00861817" w:rsidRPr="00DA42F3" w:rsidRDefault="00861817" w:rsidP="00B4488E">
      <w:pPr>
        <w:widowControl/>
        <w:numPr>
          <w:ilvl w:val="1"/>
          <w:numId w:val="5"/>
        </w:numPr>
        <w:suppressAutoHyphens w:val="0"/>
        <w:adjustRightInd w:val="0"/>
        <w:spacing w:before="120" w:after="120"/>
        <w:ind w:left="2268" w:hanging="567"/>
        <w:jc w:val="both"/>
        <w:textAlignment w:val="auto"/>
      </w:pPr>
      <w:r w:rsidRPr="00DA42F3">
        <w:t>the materials and/or equipment were bought from the principal (or a member of a group to which the principal belongs) at arms’ length</w:t>
      </w:r>
      <w:r>
        <w:t>; and</w:t>
      </w:r>
    </w:p>
    <w:p w:rsidR="00861817" w:rsidRPr="00DA42F3" w:rsidRDefault="00861817" w:rsidP="00B4488E">
      <w:pPr>
        <w:widowControl/>
        <w:numPr>
          <w:ilvl w:val="1"/>
          <w:numId w:val="5"/>
        </w:numPr>
        <w:suppressAutoHyphens w:val="0"/>
        <w:adjustRightInd w:val="0"/>
        <w:spacing w:before="120" w:after="120"/>
        <w:ind w:left="2268" w:hanging="567"/>
        <w:jc w:val="both"/>
        <w:textAlignment w:val="auto"/>
      </w:pPr>
      <w:proofErr w:type="gramStart"/>
      <w:r w:rsidRPr="00DA42F3">
        <w:t>the</w:t>
      </w:r>
      <w:proofErr w:type="gramEnd"/>
      <w:r w:rsidRPr="00DA42F3">
        <w:t xml:space="preserve"> principal believes that the exemption should apply.</w:t>
      </w:r>
    </w:p>
    <w:p w:rsidR="00861817" w:rsidRPr="005F43F8" w:rsidRDefault="00861817" w:rsidP="00B4488E">
      <w:pPr>
        <w:widowControl/>
        <w:numPr>
          <w:ilvl w:val="0"/>
          <w:numId w:val="2"/>
        </w:numPr>
        <w:suppressAutoHyphens w:val="0"/>
        <w:adjustRightInd w:val="0"/>
        <w:spacing w:before="120" w:after="120"/>
        <w:ind w:left="1418" w:hanging="567"/>
        <w:jc w:val="both"/>
        <w:textAlignment w:val="auto"/>
        <w:rPr>
          <w:rFonts w:cs="Arial"/>
          <w:bCs/>
        </w:rPr>
      </w:pPr>
      <w:r w:rsidRPr="00DA42F3">
        <w:t>Alternatively, where the 50</w:t>
      </w:r>
      <w:r>
        <w:t xml:space="preserve"> per cent</w:t>
      </w:r>
      <w:r w:rsidRPr="00DA42F3">
        <w:t xml:space="preserve"> criterion is not satisfied, the principal may be entitled to a </w:t>
      </w:r>
      <w:r w:rsidRPr="00AF3178">
        <w:t xml:space="preserve">deduction depending on the profession of the contractor (Revenue </w:t>
      </w:r>
      <w:r>
        <w:t>Circular</w:t>
      </w:r>
      <w:r w:rsidRPr="00DA42F3">
        <w:t xml:space="preserve"> PTA018).</w:t>
      </w:r>
    </w:p>
    <w:p w:rsidR="00861817" w:rsidRDefault="00861817" w:rsidP="00B4488E">
      <w:pPr>
        <w:widowControl/>
        <w:numPr>
          <w:ilvl w:val="0"/>
          <w:numId w:val="2"/>
        </w:numPr>
        <w:suppressAutoHyphens w:val="0"/>
        <w:adjustRightInd w:val="0"/>
        <w:spacing w:before="120" w:after="120"/>
        <w:ind w:left="1418" w:hanging="567"/>
        <w:jc w:val="both"/>
        <w:textAlignment w:val="auto"/>
      </w:pPr>
      <w:r>
        <w:t>The exemption does not apply where:</w:t>
      </w:r>
    </w:p>
    <w:p w:rsidR="00B4488E" w:rsidRDefault="00B4488E" w:rsidP="00B4488E">
      <w:pPr>
        <w:widowControl/>
        <w:numPr>
          <w:ilvl w:val="1"/>
          <w:numId w:val="2"/>
        </w:numPr>
        <w:suppressAutoHyphens w:val="0"/>
        <w:adjustRightInd w:val="0"/>
        <w:spacing w:before="120" w:after="120"/>
        <w:ind w:left="2268" w:hanging="567"/>
        <w:jc w:val="both"/>
        <w:textAlignment w:val="auto"/>
      </w:pPr>
      <w:r>
        <w:t xml:space="preserve">the services supplied under the contract include any </w:t>
      </w:r>
      <w:r w:rsidRPr="005F43F8">
        <w:t>services</w:t>
      </w:r>
      <w:r>
        <w:t xml:space="preserve"> not mentioned in section 32 (2) of the Act (i.e. the services supplied must all be exempt services); or</w:t>
      </w:r>
    </w:p>
    <w:p w:rsidR="00B4488E" w:rsidRPr="005F43F8" w:rsidRDefault="00B4488E" w:rsidP="00B4488E">
      <w:pPr>
        <w:widowControl/>
        <w:numPr>
          <w:ilvl w:val="1"/>
          <w:numId w:val="2"/>
        </w:numPr>
        <w:suppressAutoHyphens w:val="0"/>
        <w:adjustRightInd w:val="0"/>
        <w:spacing w:before="120" w:after="120"/>
        <w:ind w:left="2268" w:hanging="567"/>
        <w:jc w:val="both"/>
        <w:textAlignment w:val="auto"/>
      </w:pPr>
      <w:proofErr w:type="gramStart"/>
      <w:r>
        <w:t>the</w:t>
      </w:r>
      <w:proofErr w:type="gramEnd"/>
      <w:r>
        <w:t xml:space="preserve"> Commissioner for ACT Revenue determines that the contract was entered into with the intention to avoid payroll tax.</w:t>
      </w:r>
    </w:p>
    <w:p w:rsidR="00861817" w:rsidRPr="00AF3178" w:rsidRDefault="00861817" w:rsidP="00B4488E">
      <w:pPr>
        <w:adjustRightInd w:val="0"/>
        <w:ind w:left="851"/>
        <w:rPr>
          <w:rFonts w:cs="Arial"/>
          <w:bCs/>
        </w:rPr>
      </w:pPr>
    </w:p>
    <w:p w:rsidR="00861817" w:rsidRDefault="00861817" w:rsidP="00B4488E">
      <w:pPr>
        <w:adjustRightInd w:val="0"/>
        <w:ind w:left="851"/>
        <w:rPr>
          <w:rFonts w:cs="Arial"/>
          <w:bCs/>
        </w:rPr>
      </w:pPr>
      <w:r>
        <w:rPr>
          <w:rFonts w:cs="Arial"/>
          <w:bCs/>
        </w:rPr>
        <w:t>SIGNED</w:t>
      </w:r>
    </w:p>
    <w:p w:rsidR="00861817" w:rsidRPr="00AF3178" w:rsidRDefault="00861817" w:rsidP="00B4488E">
      <w:pPr>
        <w:adjustRightInd w:val="0"/>
        <w:ind w:left="851"/>
        <w:rPr>
          <w:rFonts w:cs="Arial"/>
          <w:bCs/>
        </w:rPr>
      </w:pPr>
    </w:p>
    <w:p w:rsidR="00861817" w:rsidRPr="00AF3178" w:rsidRDefault="00861817" w:rsidP="00B4488E">
      <w:pPr>
        <w:adjustRightInd w:val="0"/>
        <w:ind w:left="851"/>
        <w:rPr>
          <w:rFonts w:cs="Arial"/>
          <w:bCs/>
        </w:rPr>
      </w:pPr>
      <w:r w:rsidRPr="00AF3178">
        <w:rPr>
          <w:rFonts w:cs="Arial"/>
          <w:bCs/>
        </w:rPr>
        <w:t>Kim Salisbury</w:t>
      </w:r>
    </w:p>
    <w:p w:rsidR="00861817" w:rsidRPr="00AF3178" w:rsidRDefault="00861817" w:rsidP="00B4488E">
      <w:pPr>
        <w:adjustRightInd w:val="0"/>
        <w:ind w:left="851"/>
        <w:rPr>
          <w:rFonts w:cs="Arial"/>
        </w:rPr>
      </w:pPr>
      <w:r w:rsidRPr="00AF3178">
        <w:rPr>
          <w:rFonts w:cs="Arial"/>
        </w:rPr>
        <w:t>Commissioner for ACT Revenue</w:t>
      </w:r>
    </w:p>
    <w:p w:rsidR="00861817" w:rsidRPr="00AF3178" w:rsidRDefault="00861817" w:rsidP="00B4488E">
      <w:pPr>
        <w:adjustRightInd w:val="0"/>
        <w:ind w:left="851"/>
        <w:rPr>
          <w:rFonts w:cs="Arial"/>
          <w:bCs/>
        </w:rPr>
      </w:pPr>
      <w:r>
        <w:rPr>
          <w:rFonts w:cs="Arial"/>
          <w:bCs/>
        </w:rPr>
        <w:t>25 February 2016</w:t>
      </w:r>
    </w:p>
    <w:p w:rsidR="00861817" w:rsidRPr="00217999" w:rsidRDefault="00861817" w:rsidP="00B4488E">
      <w:pPr>
        <w:ind w:left="851"/>
        <w:rPr>
          <w:highlight w:val="yellow"/>
        </w:rPr>
      </w:pPr>
    </w:p>
    <w:p w:rsidR="00C75578" w:rsidRPr="000715D3" w:rsidRDefault="00C75578" w:rsidP="00B4488E">
      <w:pPr>
        <w:adjustRightInd w:val="0"/>
        <w:ind w:left="851"/>
        <w:jc w:val="both"/>
        <w:rPr>
          <w:rFonts w:cs="Arial"/>
        </w:rPr>
      </w:pPr>
    </w:p>
    <w:sectPr w:rsidR="00C75578" w:rsidRPr="000715D3" w:rsidSect="00B87EF3">
      <w:pgSz w:w="11910" w:h="16840" w:code="9"/>
      <w:pgMar w:top="851" w:right="1278" w:bottom="1100" w:left="23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817" w:rsidRDefault="00861817" w:rsidP="005B0828">
      <w:r>
        <w:separator/>
      </w:r>
    </w:p>
  </w:endnote>
  <w:endnote w:type="continuationSeparator" w:id="0">
    <w:p w:rsidR="00861817" w:rsidRDefault="00861817" w:rsidP="005B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17" w:rsidRDefault="00861817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17" w:rsidRPr="00F44A8D" w:rsidRDefault="00861817" w:rsidP="00F44A8D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817" w:rsidRDefault="00861817" w:rsidP="005B0828">
      <w:r w:rsidRPr="005B0828">
        <w:rPr>
          <w:color w:val="000000"/>
        </w:rPr>
        <w:separator/>
      </w:r>
    </w:p>
  </w:footnote>
  <w:footnote w:type="continuationSeparator" w:id="0">
    <w:p w:rsidR="00861817" w:rsidRDefault="00861817" w:rsidP="005B0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17" w:rsidRDefault="00861817" w:rsidP="00822F9C">
    <w:pPr>
      <w:pStyle w:val="Header"/>
      <w:tabs>
        <w:tab w:val="clear" w:pos="4513"/>
        <w:tab w:val="clear" w:pos="9026"/>
      </w:tabs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40807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451D6"/>
    <w:multiLevelType w:val="hybridMultilevel"/>
    <w:tmpl w:val="F18ADE8E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770C8140">
      <w:start w:val="1"/>
      <w:numFmt w:val="lowerLetter"/>
      <w:lvlText w:val="%2."/>
      <w:lvlJc w:val="left"/>
      <w:pPr>
        <w:ind w:left="2345" w:hanging="360"/>
      </w:pPr>
      <w:rPr>
        <w:rFonts w:cs="Times New Roman" w:hint="default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3845B3"/>
    <w:multiLevelType w:val="hybridMultilevel"/>
    <w:tmpl w:val="BA7CAABA"/>
    <w:lvl w:ilvl="0" w:tplc="2C2ABB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B0828"/>
    <w:rsid w:val="000D649E"/>
    <w:rsid w:val="000D64C3"/>
    <w:rsid w:val="00105197"/>
    <w:rsid w:val="00163CCB"/>
    <w:rsid w:val="00193116"/>
    <w:rsid w:val="00210C1D"/>
    <w:rsid w:val="002240B1"/>
    <w:rsid w:val="00244887"/>
    <w:rsid w:val="002713A8"/>
    <w:rsid w:val="00275FAE"/>
    <w:rsid w:val="00310E54"/>
    <w:rsid w:val="00391CB7"/>
    <w:rsid w:val="004C477A"/>
    <w:rsid w:val="005B0828"/>
    <w:rsid w:val="006B0ECA"/>
    <w:rsid w:val="006B2035"/>
    <w:rsid w:val="00712A2B"/>
    <w:rsid w:val="00822F9C"/>
    <w:rsid w:val="00861817"/>
    <w:rsid w:val="008B1CDE"/>
    <w:rsid w:val="0096709E"/>
    <w:rsid w:val="009955D1"/>
    <w:rsid w:val="00A812EA"/>
    <w:rsid w:val="00AD4741"/>
    <w:rsid w:val="00AF7801"/>
    <w:rsid w:val="00B4488E"/>
    <w:rsid w:val="00B87EF3"/>
    <w:rsid w:val="00BB7D19"/>
    <w:rsid w:val="00BE0B6D"/>
    <w:rsid w:val="00BF64D2"/>
    <w:rsid w:val="00C24521"/>
    <w:rsid w:val="00C75578"/>
    <w:rsid w:val="00C82405"/>
    <w:rsid w:val="00C8554F"/>
    <w:rsid w:val="00CD0ACD"/>
    <w:rsid w:val="00CD6913"/>
    <w:rsid w:val="00D908F9"/>
    <w:rsid w:val="00DA0B26"/>
    <w:rsid w:val="00DA6ED5"/>
    <w:rsid w:val="00F4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8F813-CB15-489D-AA66-B5F9D31E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Zilic</dc:creator>
  <cp:lastModifiedBy>Tereza Zilic</cp:lastModifiedBy>
  <cp:revision>3</cp:revision>
  <cp:lastPrinted>2017-05-08T23:51:00Z</cp:lastPrinted>
  <dcterms:created xsi:type="dcterms:W3CDTF">2017-05-12T04:08:00Z</dcterms:created>
  <dcterms:modified xsi:type="dcterms:W3CDTF">2017-05-12T04:45:00Z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