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CA" w:rsidRDefault="00950381" w:rsidP="00DA0B26">
      <w:pPr>
        <w:pStyle w:val="BodyText"/>
        <w:overflowPunct w:val="0"/>
        <w:ind w:right="-142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5.2pt;margin-top:66.1pt;width:212.1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AX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" filled="f" stroked="f">
            <v:textbox>
              <w:txbxContent>
                <w:p w:rsidR="007D06DE" w:rsidRPr="006B0ECA" w:rsidRDefault="007D06DE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B0ECA">
                    <w:rPr>
                      <w:b/>
                      <w:color w:val="FFFFFF" w:themeColor="background1"/>
                      <w:sz w:val="40"/>
                      <w:szCs w:val="40"/>
                    </w:rPr>
                    <w:t>ACT REVENUE OFFICE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" o:spid="_x0000_s1027" style="position:absolute;left:0;text-align:left;margin-left:188.7pt;margin-top:-124.85pt;width:277.8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" filled="f" stroked="f">
            <v:textbox>
              <w:txbxContent>
                <w:p w:rsidR="007D06DE" w:rsidRPr="00D908F9" w:rsidRDefault="007D06DE" w:rsidP="00391CB7">
                  <w:pPr>
                    <w:pStyle w:val="Header"/>
                    <w:tabs>
                      <w:tab w:val="clear" w:pos="4513"/>
                    </w:tabs>
                    <w:jc w:val="both"/>
                    <w:rPr>
                      <w:color w:val="FFFFFF"/>
                      <w:sz w:val="56"/>
                      <w:szCs w:val="56"/>
                    </w:rPr>
                  </w:pPr>
                  <w:r>
                    <w:rPr>
                      <w:color w:val="FFFFFF"/>
                      <w:sz w:val="56"/>
                      <w:szCs w:val="56"/>
                    </w:rPr>
                    <w:t>ACT Revenue Office</w:t>
                  </w:r>
                </w:p>
              </w:txbxContent>
            </v:textbox>
          </v:rect>
        </w:pict>
      </w:r>
      <w:r w:rsidR="00391CB7">
        <w:rPr>
          <w:noProof/>
        </w:rPr>
        <w:drawing>
          <wp:inline distT="0" distB="0" distL="0" distR="0">
            <wp:extent cx="9448201" cy="2184071"/>
            <wp:effectExtent l="19050" t="0" r="59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949" cy="218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CA" w:rsidRPr="00CD6913" w:rsidRDefault="006B0ECA" w:rsidP="00AD4741">
      <w:pPr>
        <w:ind w:left="1134"/>
        <w:jc w:val="both"/>
        <w:rPr>
          <w:rFonts w:asciiTheme="minorHAnsi" w:hAnsiTheme="minorHAnsi"/>
        </w:rPr>
      </w:pPr>
    </w:p>
    <w:tbl>
      <w:tblPr>
        <w:tblW w:w="4378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9499"/>
      </w:tblGrid>
      <w:tr w:rsidR="00F44A8D" w:rsidRPr="00404085" w:rsidTr="00054A8E">
        <w:trPr>
          <w:cantSplit/>
        </w:trPr>
        <w:tc>
          <w:tcPr>
            <w:tcW w:w="9498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D9D9D9"/>
          </w:tcPr>
          <w:p w:rsidR="00F44A8D" w:rsidRPr="00705A5A" w:rsidRDefault="00F44A8D" w:rsidP="00AD47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REVENUE CIRCULAR PTA0</w:t>
            </w:r>
            <w:r w:rsidR="002D4321">
              <w:rPr>
                <w:b/>
                <w:lang w:eastAsia="en-US"/>
              </w:rPr>
              <w:t>04</w:t>
            </w:r>
          </w:p>
        </w:tc>
      </w:tr>
      <w:tr w:rsidR="00F44A8D" w:rsidRPr="00404085" w:rsidTr="00054A8E">
        <w:trPr>
          <w:cantSplit/>
        </w:trPr>
        <w:tc>
          <w:tcPr>
            <w:tcW w:w="9498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2D4321" w:rsidP="00AD474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Termination Payments</w:t>
            </w:r>
            <w:r w:rsidR="00F44A8D">
              <w:rPr>
                <w:lang w:eastAsia="en-US"/>
              </w:rPr>
              <w:t xml:space="preserve"> – </w:t>
            </w:r>
            <w:r w:rsidR="00F44A8D" w:rsidRPr="00F44A8D">
              <w:rPr>
                <w:i/>
                <w:lang w:eastAsia="en-US"/>
              </w:rPr>
              <w:t>Payroll Tax Act 2011</w:t>
            </w:r>
          </w:p>
        </w:tc>
      </w:tr>
      <w:tr w:rsidR="00F44A8D" w:rsidRPr="00404085" w:rsidTr="00054A8E">
        <w:trPr>
          <w:cantSplit/>
        </w:trPr>
        <w:tc>
          <w:tcPr>
            <w:tcW w:w="9498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2D432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Issue Date: </w:t>
            </w:r>
            <w:r w:rsidR="002D4321">
              <w:rPr>
                <w:lang w:eastAsia="en-US"/>
              </w:rPr>
              <w:t>30 June 2011</w:t>
            </w:r>
          </w:p>
        </w:tc>
      </w:tr>
      <w:tr w:rsidR="00F44A8D" w:rsidRPr="00404085" w:rsidTr="00054A8E">
        <w:trPr>
          <w:cantSplit/>
        </w:trPr>
        <w:tc>
          <w:tcPr>
            <w:tcW w:w="9498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AD4741">
            <w:pPr>
              <w:jc w:val="both"/>
            </w:pPr>
            <w:r>
              <w:t>Status: Current</w:t>
            </w:r>
            <w:r w:rsidR="008F0F43">
              <w:t xml:space="preserve"> – Effective 1 July 2011</w:t>
            </w:r>
          </w:p>
        </w:tc>
      </w:tr>
      <w:tr w:rsidR="00310E54" w:rsidRPr="00404085" w:rsidTr="00054A8E">
        <w:trPr>
          <w:cantSplit/>
        </w:trPr>
        <w:tc>
          <w:tcPr>
            <w:tcW w:w="9498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310E54" w:rsidRDefault="00310E54" w:rsidP="00AD4741">
            <w:pPr>
              <w:jc w:val="both"/>
            </w:pPr>
            <w:r>
              <w:t>Previous Circular: PT</w:t>
            </w:r>
            <w:r w:rsidR="002D4321">
              <w:t>X004</w:t>
            </w:r>
          </w:p>
        </w:tc>
      </w:tr>
    </w:tbl>
    <w:p w:rsidR="00F44A8D" w:rsidRPr="00AD4741" w:rsidRDefault="008F0F43" w:rsidP="007D06DE">
      <w:pPr>
        <w:pStyle w:val="Heading1"/>
        <w:spacing w:before="120" w:after="60" w:line="240" w:lineRule="auto"/>
        <w:ind w:left="1701" w:hanging="567"/>
        <w:jc w:val="both"/>
      </w:pPr>
      <w:r>
        <w:t>Preamble</w:t>
      </w:r>
    </w:p>
    <w:p w:rsidR="00054A8E" w:rsidRPr="00054A8E" w:rsidRDefault="00054A8E" w:rsidP="00054A8E">
      <w:pPr>
        <w:pStyle w:val="ListParagraph"/>
        <w:widowControl/>
        <w:suppressAutoHyphens w:val="0"/>
        <w:autoSpaceDE/>
        <w:autoSpaceDN/>
        <w:ind w:left="1134" w:firstLine="0"/>
        <w:contextualSpacing/>
        <w:jc w:val="both"/>
        <w:textAlignment w:val="auto"/>
      </w:pPr>
      <w:r w:rsidRPr="00054A8E">
        <w:t xml:space="preserve">The </w:t>
      </w:r>
      <w:r w:rsidRPr="00054A8E">
        <w:rPr>
          <w:i/>
        </w:rPr>
        <w:t>Payroll Tax Act 2011</w:t>
      </w:r>
      <w:r w:rsidRPr="00054A8E">
        <w:t xml:space="preserve"> (the Act), which commenced on 1 July 2011, rewrites the </w:t>
      </w:r>
      <w:r w:rsidRPr="00054A8E">
        <w:rPr>
          <w:i/>
        </w:rPr>
        <w:t>Payroll Tax Act 1987</w:t>
      </w:r>
      <w:r w:rsidRPr="00054A8E">
        <w:t xml:space="preserve"> (the 1987 Act) and harmonises the payroll tax legislation in the Australian jurisdictions.</w:t>
      </w:r>
    </w:p>
    <w:p w:rsidR="00054A8E" w:rsidRPr="00054A8E" w:rsidRDefault="00054A8E" w:rsidP="00054A8E">
      <w:pPr>
        <w:widowControl/>
        <w:suppressAutoHyphens w:val="0"/>
        <w:adjustRightInd w:val="0"/>
        <w:spacing w:before="120" w:after="120"/>
        <w:ind w:left="1701" w:hanging="567"/>
        <w:jc w:val="both"/>
        <w:textAlignment w:val="auto"/>
        <w:rPr>
          <w:rFonts w:cs="Arial"/>
        </w:rPr>
      </w:pPr>
      <w:r w:rsidRPr="00054A8E">
        <w:rPr>
          <w:rFonts w:cs="Arial"/>
        </w:rPr>
        <w:t>1.</w:t>
      </w:r>
      <w:r w:rsidRPr="00054A8E">
        <w:rPr>
          <w:rFonts w:cs="Arial"/>
        </w:rPr>
        <w:tab/>
        <w:t>The Australian Government introduced superannuation refo</w:t>
      </w:r>
      <w:r w:rsidR="00C81C69">
        <w:rPr>
          <w:rFonts w:cs="Arial"/>
        </w:rPr>
        <w:t>rms effective from 1 July 2007.</w:t>
      </w:r>
    </w:p>
    <w:p w:rsidR="00054A8E" w:rsidRPr="007A387F" w:rsidRDefault="00054A8E" w:rsidP="00054A8E">
      <w:pPr>
        <w:widowControl/>
        <w:suppressAutoHyphens w:val="0"/>
        <w:adjustRightInd w:val="0"/>
        <w:spacing w:before="120" w:after="120"/>
        <w:ind w:left="1701" w:hanging="567"/>
        <w:jc w:val="both"/>
        <w:textAlignment w:val="auto"/>
        <w:rPr>
          <w:rFonts w:cs="Arial"/>
        </w:rPr>
      </w:pPr>
      <w:r w:rsidRPr="007A387F">
        <w:rPr>
          <w:rFonts w:cs="Arial"/>
        </w:rPr>
        <w:t>2.</w:t>
      </w:r>
      <w:r w:rsidRPr="007A387F">
        <w:rPr>
          <w:rFonts w:cs="Arial"/>
        </w:rPr>
        <w:tab/>
        <w:t>One of the consequences of this reform is a change in the treatment of employment term</w:t>
      </w:r>
      <w:r w:rsidRPr="007A387F">
        <w:rPr>
          <w:rFonts w:cs="Arial"/>
        </w:rPr>
        <w:t>i</w:t>
      </w:r>
      <w:r w:rsidRPr="007A387F">
        <w:rPr>
          <w:rFonts w:cs="Arial"/>
        </w:rPr>
        <w:t>nation payments for income tax purposes and also changes in the terminology of termin</w:t>
      </w:r>
      <w:r w:rsidRPr="007A387F">
        <w:rPr>
          <w:rFonts w:cs="Arial"/>
        </w:rPr>
        <w:t>a</w:t>
      </w:r>
      <w:r w:rsidRPr="007A387F">
        <w:rPr>
          <w:rFonts w:cs="Arial"/>
        </w:rPr>
        <w:t>tion payments.</w:t>
      </w:r>
      <w:r>
        <w:rPr>
          <w:rFonts w:cs="Arial"/>
        </w:rPr>
        <w:t xml:space="preserve"> </w:t>
      </w:r>
      <w:r w:rsidRPr="007A387F">
        <w:rPr>
          <w:rFonts w:cs="Arial"/>
        </w:rPr>
        <w:t xml:space="preserve"> Employers should contact the Australian Taxation Office for advice in rel</w:t>
      </w:r>
      <w:r w:rsidRPr="007A387F">
        <w:rPr>
          <w:rFonts w:cs="Arial"/>
        </w:rPr>
        <w:t>a</w:t>
      </w:r>
      <w:r w:rsidRPr="007A387F">
        <w:rPr>
          <w:rFonts w:cs="Arial"/>
        </w:rPr>
        <w:t>tion to the income tax treatment of employment termination payments, transitional term</w:t>
      </w:r>
      <w:r w:rsidRPr="007A387F">
        <w:rPr>
          <w:rFonts w:cs="Arial"/>
        </w:rPr>
        <w:t>i</w:t>
      </w:r>
      <w:r w:rsidRPr="007A387F">
        <w:rPr>
          <w:rFonts w:cs="Arial"/>
        </w:rPr>
        <w:t>nation payments, unused annual leave and long service leave payments, and genuine r</w:t>
      </w:r>
      <w:r w:rsidRPr="007A387F">
        <w:rPr>
          <w:rFonts w:cs="Arial"/>
        </w:rPr>
        <w:t>e</w:t>
      </w:r>
      <w:r w:rsidRPr="007A387F">
        <w:rPr>
          <w:rFonts w:cs="Arial"/>
        </w:rPr>
        <w:t>dundancy payments and early retirement scheme payments.</w:t>
      </w:r>
    </w:p>
    <w:p w:rsidR="00054A8E" w:rsidRPr="00054A8E" w:rsidRDefault="00054A8E" w:rsidP="00054A8E">
      <w:pPr>
        <w:widowControl/>
        <w:suppressAutoHyphens w:val="0"/>
        <w:adjustRightInd w:val="0"/>
        <w:spacing w:before="120" w:after="120"/>
        <w:ind w:left="1701" w:hanging="567"/>
        <w:jc w:val="both"/>
        <w:textAlignment w:val="auto"/>
        <w:rPr>
          <w:rFonts w:cs="Arial"/>
        </w:rPr>
      </w:pPr>
      <w:r w:rsidRPr="007A387F">
        <w:rPr>
          <w:rFonts w:cs="Arial"/>
        </w:rPr>
        <w:t>3.</w:t>
      </w:r>
      <w:r w:rsidRPr="007A387F">
        <w:rPr>
          <w:rFonts w:cs="Arial"/>
        </w:rPr>
        <w:tab/>
        <w:t>This circular clarifies which termination payments are subject to payroll tax.</w:t>
      </w:r>
    </w:p>
    <w:p w:rsidR="00F44A8D" w:rsidRPr="00AD4741" w:rsidRDefault="00F44A8D" w:rsidP="007D06DE">
      <w:pPr>
        <w:pStyle w:val="Heading1"/>
        <w:spacing w:before="60" w:after="60" w:line="240" w:lineRule="auto"/>
        <w:ind w:left="1134" w:firstLine="0"/>
        <w:jc w:val="both"/>
        <w:rPr>
          <w:rFonts w:asciiTheme="minorHAnsi" w:hAnsiTheme="minorHAnsi"/>
        </w:rPr>
      </w:pPr>
      <w:r w:rsidRPr="00AD4741">
        <w:rPr>
          <w:rFonts w:asciiTheme="minorHAnsi" w:hAnsiTheme="minorHAnsi"/>
        </w:rPr>
        <w:t>Circular</w:t>
      </w:r>
    </w:p>
    <w:p w:rsidR="00054A8E" w:rsidRPr="007A387F" w:rsidRDefault="00054A8E" w:rsidP="00054A8E">
      <w:pPr>
        <w:ind w:left="1134"/>
        <w:jc w:val="both"/>
        <w:outlineLvl w:val="1"/>
        <w:rPr>
          <w:rFonts w:cs="Arial"/>
          <w:b/>
        </w:rPr>
      </w:pPr>
      <w:r w:rsidRPr="007A387F">
        <w:rPr>
          <w:rFonts w:cs="Arial"/>
          <w:b/>
          <w:sz w:val="26"/>
          <w:szCs w:val="26"/>
        </w:rPr>
        <w:t>Termination Payments</w:t>
      </w:r>
    </w:p>
    <w:p w:rsidR="00054A8E" w:rsidRPr="007A387F" w:rsidRDefault="00054A8E" w:rsidP="007D06DE">
      <w:pPr>
        <w:adjustRightInd w:val="0"/>
        <w:spacing w:after="120"/>
        <w:ind w:left="1701" w:hanging="567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</w:r>
      <w:r w:rsidRPr="007A387F">
        <w:rPr>
          <w:rFonts w:cs="Arial"/>
        </w:rPr>
        <w:t>Termination payments generally constitute wages for payroll tax purposes under section 27 of th</w:t>
      </w:r>
      <w:r>
        <w:rPr>
          <w:rFonts w:cs="Arial"/>
        </w:rPr>
        <w:t xml:space="preserve">e Act. </w:t>
      </w:r>
      <w:r w:rsidRPr="007A387F">
        <w:rPr>
          <w:rFonts w:cs="Arial"/>
        </w:rPr>
        <w:t>These include a payment made in consequence of the retirement from, or termination of, any office or employment of an employee.  This includes:</w:t>
      </w:r>
    </w:p>
    <w:p w:rsidR="00054A8E" w:rsidRDefault="00054A8E" w:rsidP="007D06DE">
      <w:pPr>
        <w:pStyle w:val="ListParagraph"/>
        <w:numPr>
          <w:ilvl w:val="0"/>
          <w:numId w:val="5"/>
        </w:numPr>
        <w:adjustRightInd w:val="0"/>
        <w:spacing w:before="120" w:after="120"/>
        <w:ind w:left="2268" w:hanging="425"/>
        <w:jc w:val="both"/>
        <w:rPr>
          <w:rFonts w:cs="Arial"/>
        </w:rPr>
      </w:pPr>
      <w:r w:rsidRPr="00054A8E">
        <w:rPr>
          <w:rFonts w:cs="Arial"/>
        </w:rPr>
        <w:t>unused annual leave and long service leave payments</w:t>
      </w:r>
      <w:r>
        <w:rPr>
          <w:rFonts w:cs="Arial"/>
        </w:rPr>
        <w:t>;</w:t>
      </w:r>
    </w:p>
    <w:p w:rsidR="00054A8E" w:rsidRPr="00054A8E" w:rsidRDefault="00054A8E" w:rsidP="007D06DE">
      <w:pPr>
        <w:pStyle w:val="ListParagraph"/>
        <w:numPr>
          <w:ilvl w:val="0"/>
          <w:numId w:val="5"/>
        </w:numPr>
        <w:adjustRightInd w:val="0"/>
        <w:spacing w:before="120" w:after="120"/>
        <w:ind w:left="2268" w:hanging="425"/>
        <w:jc w:val="both"/>
        <w:rPr>
          <w:rFonts w:cs="Arial"/>
        </w:rPr>
      </w:pPr>
      <w:r w:rsidRPr="00054A8E">
        <w:rPr>
          <w:rFonts w:cs="Arial"/>
        </w:rPr>
        <w:t>employment termination payments, within the meaning of section 82-130 of the Income Tax Assessment Act 1997 (</w:t>
      </w:r>
      <w:proofErr w:type="spellStart"/>
      <w:r w:rsidRPr="00054A8E">
        <w:rPr>
          <w:rFonts w:cs="Arial"/>
        </w:rPr>
        <w:t>Cwth</w:t>
      </w:r>
      <w:proofErr w:type="spellEnd"/>
      <w:r w:rsidRPr="00054A8E">
        <w:rPr>
          <w:rFonts w:cs="Arial"/>
        </w:rPr>
        <w:t>) (ITAA), that would be included in the assessable income of an employee under Part 2-40 of the ITAA;</w:t>
      </w:r>
    </w:p>
    <w:p w:rsidR="00054A8E" w:rsidRDefault="00054A8E" w:rsidP="007D06DE">
      <w:pPr>
        <w:pStyle w:val="ListParagraph"/>
        <w:numPr>
          <w:ilvl w:val="0"/>
          <w:numId w:val="5"/>
        </w:numPr>
        <w:adjustRightInd w:val="0"/>
        <w:spacing w:before="120" w:after="120"/>
        <w:ind w:left="2268" w:hanging="425"/>
        <w:jc w:val="both"/>
        <w:rPr>
          <w:rFonts w:cs="Arial"/>
        </w:rPr>
      </w:pPr>
      <w:r w:rsidRPr="007A387F">
        <w:rPr>
          <w:rFonts w:cs="Arial"/>
        </w:rPr>
        <w:t xml:space="preserve">transitional termination payments, within the meaning of section 82-10 of the </w:t>
      </w:r>
      <w:r w:rsidRPr="00054A8E">
        <w:rPr>
          <w:rFonts w:cs="Arial"/>
        </w:rPr>
        <w:t>Income Tax (Transitional Provisions) Act 1997</w:t>
      </w:r>
      <w:r w:rsidRPr="007A387F">
        <w:rPr>
          <w:rFonts w:cs="Arial"/>
        </w:rPr>
        <w:t xml:space="preserve"> </w:t>
      </w:r>
      <w:r w:rsidRPr="00054A8E">
        <w:rPr>
          <w:rFonts w:cs="Arial"/>
        </w:rPr>
        <w:t>(</w:t>
      </w:r>
      <w:proofErr w:type="spellStart"/>
      <w:r w:rsidRPr="00054A8E">
        <w:rPr>
          <w:rFonts w:cs="Arial"/>
        </w:rPr>
        <w:t>Cwth</w:t>
      </w:r>
      <w:proofErr w:type="spellEnd"/>
      <w:r w:rsidRPr="00054A8E">
        <w:rPr>
          <w:rFonts w:cs="Arial"/>
        </w:rPr>
        <w:t xml:space="preserve">) </w:t>
      </w:r>
      <w:r w:rsidRPr="007A387F">
        <w:rPr>
          <w:rFonts w:cs="Arial"/>
        </w:rPr>
        <w:t>and any payment that would be an employment termination payment but for the fact that it was received more than 12 months after termination;</w:t>
      </w:r>
    </w:p>
    <w:p w:rsidR="00F44A8D" w:rsidRPr="007D06DE" w:rsidRDefault="007D06DE" w:rsidP="007D06DE">
      <w:pPr>
        <w:pStyle w:val="ListParagraph"/>
        <w:numPr>
          <w:ilvl w:val="0"/>
          <w:numId w:val="5"/>
        </w:numPr>
        <w:adjustRightInd w:val="0"/>
        <w:spacing w:before="120" w:after="120"/>
        <w:ind w:left="2268" w:hanging="425"/>
        <w:jc w:val="both"/>
        <w:rPr>
          <w:rFonts w:cs="Arial"/>
        </w:rPr>
      </w:pPr>
      <w:r w:rsidRPr="007A387F">
        <w:rPr>
          <w:rFonts w:cs="Arial"/>
        </w:rPr>
        <w:t>amounts paid or payable by a company as a consequence of terminating the services or office of a director; and</w:t>
      </w:r>
    </w:p>
    <w:p w:rsidR="00F44A8D" w:rsidRDefault="00F44A8D" w:rsidP="007D06DE">
      <w:pPr>
        <w:pStyle w:val="Heading2"/>
        <w:ind w:left="2268" w:hanging="425"/>
        <w:jc w:val="both"/>
        <w:sectPr w:rsidR="00F44A8D" w:rsidSect="00054A8E">
          <w:headerReference w:type="default" r:id="rId9"/>
          <w:footerReference w:type="default" r:id="rId10"/>
          <w:footerReference w:type="first" r:id="rId11"/>
          <w:pgSz w:w="11910" w:h="16840" w:code="9"/>
          <w:pgMar w:top="-9" w:right="1278" w:bottom="1100" w:left="0" w:header="0" w:footer="318" w:gutter="0"/>
          <w:cols w:space="720"/>
          <w:titlePg/>
          <w:docGrid w:linePitch="326"/>
        </w:sectPr>
      </w:pPr>
    </w:p>
    <w:p w:rsidR="00054A8E" w:rsidRPr="007A387F" w:rsidRDefault="00054A8E" w:rsidP="007D06DE">
      <w:pPr>
        <w:pStyle w:val="ListParagraph"/>
        <w:numPr>
          <w:ilvl w:val="0"/>
          <w:numId w:val="5"/>
        </w:numPr>
        <w:adjustRightInd w:val="0"/>
        <w:spacing w:after="120"/>
        <w:ind w:left="1985" w:hanging="425"/>
        <w:jc w:val="both"/>
        <w:rPr>
          <w:rFonts w:cs="Arial"/>
        </w:rPr>
      </w:pPr>
      <w:r w:rsidRPr="007A387F">
        <w:rPr>
          <w:rFonts w:cs="Arial"/>
        </w:rPr>
        <w:lastRenderedPageBreak/>
        <w:t>amounts paid or payable by a person taken to be an employer under the contractor provisions as a consequence of termination of the supply of services by a person taken to be an employee under those provisions.</w:t>
      </w:r>
    </w:p>
    <w:p w:rsidR="00054A8E" w:rsidRPr="007A387F" w:rsidRDefault="00054A8E" w:rsidP="007D06DE">
      <w:pPr>
        <w:adjustRightInd w:val="0"/>
        <w:spacing w:before="120"/>
        <w:ind w:left="851"/>
        <w:outlineLvl w:val="1"/>
        <w:rPr>
          <w:rFonts w:cs="Arial"/>
          <w:b/>
          <w:iCs/>
          <w:sz w:val="26"/>
          <w:szCs w:val="26"/>
        </w:rPr>
      </w:pPr>
      <w:r w:rsidRPr="007A387F">
        <w:rPr>
          <w:rFonts w:cs="Arial"/>
          <w:b/>
          <w:iCs/>
          <w:sz w:val="26"/>
          <w:szCs w:val="26"/>
        </w:rPr>
        <w:t>Employment Termination Payments</w:t>
      </w:r>
    </w:p>
    <w:p w:rsidR="00054A8E" w:rsidRPr="007A387F" w:rsidRDefault="00054A8E" w:rsidP="007D06DE">
      <w:pPr>
        <w:adjustRightInd w:val="0"/>
        <w:spacing w:after="120"/>
        <w:ind w:left="851" w:right="45"/>
        <w:jc w:val="both"/>
        <w:rPr>
          <w:rFonts w:cs="Arial"/>
        </w:rPr>
      </w:pPr>
      <w:r w:rsidRPr="007A387F">
        <w:rPr>
          <w:rFonts w:cs="Arial"/>
        </w:rPr>
        <w:t>5.</w:t>
      </w:r>
      <w:r w:rsidRPr="007A387F">
        <w:rPr>
          <w:rFonts w:cs="Arial"/>
        </w:rPr>
        <w:tab/>
        <w:t>Employment termination payments may include:</w:t>
      </w:r>
    </w:p>
    <w:p w:rsidR="00054A8E" w:rsidRPr="007A387F" w:rsidRDefault="00054A8E" w:rsidP="007D06DE">
      <w:pPr>
        <w:widowControl/>
        <w:numPr>
          <w:ilvl w:val="0"/>
          <w:numId w:val="9"/>
        </w:numPr>
        <w:tabs>
          <w:tab w:val="clear" w:pos="1440"/>
        </w:tabs>
        <w:suppressAutoHyphens w:val="0"/>
        <w:adjustRightInd w:val="0"/>
        <w:spacing w:before="60" w:after="60"/>
        <w:ind w:left="1984" w:right="46" w:hanging="425"/>
        <w:jc w:val="both"/>
        <w:textAlignment w:val="auto"/>
        <w:rPr>
          <w:rFonts w:cs="Arial"/>
        </w:rPr>
      </w:pPr>
      <w:r w:rsidRPr="007A387F">
        <w:rPr>
          <w:rFonts w:cs="Arial"/>
        </w:rPr>
        <w:t>payments for unused sick leave or rostered days off;</w:t>
      </w:r>
    </w:p>
    <w:p w:rsidR="00054A8E" w:rsidRPr="007A387F" w:rsidRDefault="00054A8E" w:rsidP="007D06DE">
      <w:pPr>
        <w:widowControl/>
        <w:numPr>
          <w:ilvl w:val="0"/>
          <w:numId w:val="9"/>
        </w:numPr>
        <w:tabs>
          <w:tab w:val="clear" w:pos="1440"/>
        </w:tabs>
        <w:suppressAutoHyphens w:val="0"/>
        <w:adjustRightInd w:val="0"/>
        <w:spacing w:before="60" w:after="60"/>
        <w:ind w:left="1984" w:right="46" w:hanging="425"/>
        <w:jc w:val="both"/>
        <w:textAlignment w:val="auto"/>
        <w:rPr>
          <w:rFonts w:cs="Arial"/>
        </w:rPr>
      </w:pPr>
      <w:r w:rsidRPr="007A387F">
        <w:rPr>
          <w:rFonts w:cs="Arial"/>
        </w:rPr>
        <w:t>payments in lieu of notice;</w:t>
      </w:r>
    </w:p>
    <w:p w:rsidR="00054A8E" w:rsidRPr="007A387F" w:rsidRDefault="00054A8E" w:rsidP="007D06DE">
      <w:pPr>
        <w:widowControl/>
        <w:numPr>
          <w:ilvl w:val="0"/>
          <w:numId w:val="9"/>
        </w:numPr>
        <w:tabs>
          <w:tab w:val="clear" w:pos="1440"/>
        </w:tabs>
        <w:suppressAutoHyphens w:val="0"/>
        <w:adjustRightInd w:val="0"/>
        <w:spacing w:before="60" w:after="60"/>
        <w:ind w:left="1984" w:right="46" w:hanging="425"/>
        <w:jc w:val="both"/>
        <w:textAlignment w:val="auto"/>
        <w:rPr>
          <w:rFonts w:cs="Arial"/>
        </w:rPr>
      </w:pPr>
      <w:r w:rsidRPr="007A387F">
        <w:rPr>
          <w:rFonts w:cs="Arial"/>
        </w:rPr>
        <w:t>ex gratia payments or ‘golden handshakes’;</w:t>
      </w:r>
    </w:p>
    <w:p w:rsidR="00054A8E" w:rsidRPr="007A387F" w:rsidRDefault="00054A8E" w:rsidP="007D06DE">
      <w:pPr>
        <w:widowControl/>
        <w:numPr>
          <w:ilvl w:val="0"/>
          <w:numId w:val="9"/>
        </w:numPr>
        <w:tabs>
          <w:tab w:val="clear" w:pos="1440"/>
        </w:tabs>
        <w:suppressAutoHyphens w:val="0"/>
        <w:adjustRightInd w:val="0"/>
        <w:spacing w:before="60" w:after="60"/>
        <w:ind w:left="1984" w:right="46" w:hanging="425"/>
        <w:jc w:val="both"/>
        <w:textAlignment w:val="auto"/>
        <w:rPr>
          <w:rFonts w:cs="Arial"/>
        </w:rPr>
      </w:pPr>
      <w:r w:rsidRPr="007A387F">
        <w:rPr>
          <w:rFonts w:cs="Arial"/>
        </w:rPr>
        <w:t>an employee’s invalidity payment (a permanent disability, other than compensation for personal injury); and</w:t>
      </w:r>
    </w:p>
    <w:p w:rsidR="00054A8E" w:rsidRPr="007A387F" w:rsidRDefault="00054A8E" w:rsidP="007D06DE">
      <w:pPr>
        <w:widowControl/>
        <w:numPr>
          <w:ilvl w:val="0"/>
          <w:numId w:val="9"/>
        </w:numPr>
        <w:tabs>
          <w:tab w:val="clear" w:pos="1440"/>
        </w:tabs>
        <w:suppressAutoHyphens w:val="0"/>
        <w:adjustRightInd w:val="0"/>
        <w:spacing w:before="60" w:after="60"/>
        <w:ind w:left="1984" w:right="46" w:hanging="425"/>
        <w:jc w:val="both"/>
        <w:textAlignment w:val="auto"/>
        <w:rPr>
          <w:rFonts w:cs="Arial"/>
        </w:rPr>
      </w:pPr>
      <w:proofErr w:type="gramStart"/>
      <w:r w:rsidRPr="007A387F">
        <w:rPr>
          <w:rFonts w:cs="Arial"/>
        </w:rPr>
        <w:t>certain</w:t>
      </w:r>
      <w:proofErr w:type="gramEnd"/>
      <w:r w:rsidRPr="007A387F">
        <w:rPr>
          <w:rFonts w:cs="Arial"/>
        </w:rPr>
        <w:t xml:space="preserve"> payments after the death of an employee.</w:t>
      </w:r>
    </w:p>
    <w:p w:rsidR="00054A8E" w:rsidRPr="007A387F" w:rsidRDefault="00054A8E" w:rsidP="007D06DE">
      <w:pPr>
        <w:adjustRightInd w:val="0"/>
        <w:spacing w:before="120" w:after="120"/>
        <w:ind w:left="1418" w:right="46" w:hanging="567"/>
        <w:jc w:val="both"/>
        <w:rPr>
          <w:rFonts w:cs="Arial"/>
        </w:rPr>
      </w:pPr>
      <w:r w:rsidRPr="007A387F">
        <w:rPr>
          <w:rFonts w:cs="Arial"/>
        </w:rPr>
        <w:t>6.</w:t>
      </w:r>
      <w:r w:rsidRPr="007A387F">
        <w:rPr>
          <w:rFonts w:cs="Arial"/>
        </w:rPr>
        <w:tab/>
        <w:t>Employment termination payments do not include:</w:t>
      </w:r>
    </w:p>
    <w:p w:rsidR="00054A8E" w:rsidRPr="007A387F" w:rsidRDefault="00054A8E" w:rsidP="007D06DE">
      <w:pPr>
        <w:widowControl/>
        <w:numPr>
          <w:ilvl w:val="0"/>
          <w:numId w:val="10"/>
        </w:numPr>
        <w:tabs>
          <w:tab w:val="clear" w:pos="1440"/>
        </w:tabs>
        <w:suppressAutoHyphens w:val="0"/>
        <w:adjustRightInd w:val="0"/>
        <w:spacing w:before="60" w:after="60"/>
        <w:ind w:left="1984" w:right="46" w:hanging="425"/>
        <w:jc w:val="both"/>
        <w:textAlignment w:val="auto"/>
        <w:rPr>
          <w:rFonts w:cs="Arial"/>
        </w:rPr>
      </w:pPr>
      <w:r w:rsidRPr="007A387F">
        <w:rPr>
          <w:rFonts w:cs="Arial"/>
        </w:rPr>
        <w:t>a payment for unused annual leave or unused long service leave (however, such payments are subject to payroll tax – see section below); or</w:t>
      </w:r>
    </w:p>
    <w:p w:rsidR="00054A8E" w:rsidRPr="007A387F" w:rsidRDefault="00054A8E" w:rsidP="007D06DE">
      <w:pPr>
        <w:widowControl/>
        <w:numPr>
          <w:ilvl w:val="0"/>
          <w:numId w:val="10"/>
        </w:numPr>
        <w:tabs>
          <w:tab w:val="clear" w:pos="1440"/>
        </w:tabs>
        <w:suppressAutoHyphens w:val="0"/>
        <w:adjustRightInd w:val="0"/>
        <w:spacing w:before="60" w:after="60"/>
        <w:ind w:left="1984" w:right="46" w:hanging="425"/>
        <w:jc w:val="both"/>
        <w:textAlignment w:val="auto"/>
        <w:rPr>
          <w:rFonts w:cs="Arial"/>
        </w:rPr>
      </w:pPr>
      <w:proofErr w:type="gramStart"/>
      <w:r w:rsidRPr="007A387F">
        <w:rPr>
          <w:rFonts w:cs="Arial"/>
        </w:rPr>
        <w:t>the</w:t>
      </w:r>
      <w:proofErr w:type="gramEnd"/>
      <w:r w:rsidRPr="007A387F">
        <w:rPr>
          <w:rFonts w:cs="Arial"/>
        </w:rPr>
        <w:t xml:space="preserve"> tax-free part of a genuine redundancy payment or an early retirement scheme payment.</w:t>
      </w:r>
    </w:p>
    <w:p w:rsidR="00054A8E" w:rsidRPr="007A387F" w:rsidRDefault="00054A8E" w:rsidP="007D06DE">
      <w:pPr>
        <w:adjustRightInd w:val="0"/>
        <w:spacing w:before="120" w:after="120"/>
        <w:ind w:left="1418" w:right="46" w:hanging="567"/>
        <w:jc w:val="both"/>
        <w:rPr>
          <w:rFonts w:cs="Arial"/>
        </w:rPr>
      </w:pPr>
      <w:r w:rsidRPr="007A387F">
        <w:rPr>
          <w:rFonts w:cs="Arial"/>
        </w:rPr>
        <w:t>7.</w:t>
      </w:r>
      <w:r w:rsidRPr="007A387F">
        <w:rPr>
          <w:rFonts w:cs="Arial"/>
        </w:rPr>
        <w:tab/>
        <w:t>The amount subject to payroll tax is the amount of an employment termination payment paid by the employer that would be subject to income tax.</w:t>
      </w:r>
    </w:p>
    <w:p w:rsidR="007D06DE" w:rsidRPr="007D06DE" w:rsidRDefault="007D06DE" w:rsidP="007D06DE">
      <w:pPr>
        <w:adjustRightInd w:val="0"/>
        <w:spacing w:before="120" w:after="120"/>
        <w:ind w:left="851" w:right="46"/>
        <w:jc w:val="both"/>
        <w:outlineLvl w:val="1"/>
        <w:rPr>
          <w:rFonts w:cs="Arial"/>
          <w:i/>
          <w:iCs/>
        </w:rPr>
      </w:pPr>
      <w:r w:rsidRPr="007D06DE">
        <w:rPr>
          <w:rFonts w:cs="Arial"/>
          <w:b/>
          <w:iCs/>
        </w:rPr>
        <w:t>Genuine Redundancy Payments (previously known as bona fide redundancy payments) and Early Retirement Scheme Payments (previously known as approved early retirement scheme payments)</w:t>
      </w:r>
    </w:p>
    <w:p w:rsidR="007D06DE" w:rsidRPr="007A387F" w:rsidRDefault="007D06DE" w:rsidP="00A62D91">
      <w:pPr>
        <w:adjustRightInd w:val="0"/>
        <w:spacing w:before="120" w:after="120"/>
        <w:ind w:left="1418" w:right="46" w:hanging="567"/>
        <w:jc w:val="both"/>
        <w:rPr>
          <w:rFonts w:cs="Arial"/>
        </w:rPr>
      </w:pPr>
      <w:r w:rsidRPr="007A387F">
        <w:rPr>
          <w:rFonts w:cs="Arial"/>
        </w:rPr>
        <w:t>8.</w:t>
      </w:r>
      <w:r w:rsidRPr="007A387F">
        <w:rPr>
          <w:rFonts w:cs="Arial"/>
        </w:rPr>
        <w:tab/>
        <w:t>A payment arising from the termination of employment may constitute either a genuine redundancy payment under section 83-175 of the ITAA or an early retirement scheme payment under section 83-180 of the ITAA.  Such payments are exempt from payroll tax to the extent that they are exempt from income tax.</w:t>
      </w:r>
    </w:p>
    <w:p w:rsidR="007D06DE" w:rsidRPr="007A387F" w:rsidRDefault="007D06DE" w:rsidP="007D06DE">
      <w:pPr>
        <w:adjustRightInd w:val="0"/>
        <w:spacing w:before="120"/>
        <w:ind w:left="851" w:right="45"/>
        <w:outlineLvl w:val="1"/>
        <w:rPr>
          <w:rFonts w:cs="Arial"/>
          <w:b/>
          <w:iCs/>
          <w:sz w:val="26"/>
          <w:szCs w:val="26"/>
        </w:rPr>
      </w:pPr>
      <w:r w:rsidRPr="007A387F">
        <w:rPr>
          <w:rFonts w:cs="Arial"/>
          <w:b/>
          <w:iCs/>
          <w:sz w:val="26"/>
          <w:szCs w:val="26"/>
        </w:rPr>
        <w:t>Invalidity Payments</w:t>
      </w:r>
    </w:p>
    <w:p w:rsidR="007D06DE" w:rsidRPr="007A387F" w:rsidRDefault="007D06DE" w:rsidP="007D06DE">
      <w:pPr>
        <w:adjustRightInd w:val="0"/>
        <w:spacing w:after="120"/>
        <w:ind w:left="1418" w:right="45" w:hanging="567"/>
        <w:jc w:val="both"/>
        <w:rPr>
          <w:rFonts w:cs="Arial"/>
        </w:rPr>
      </w:pPr>
      <w:r w:rsidRPr="007A387F">
        <w:rPr>
          <w:rFonts w:cs="Arial"/>
        </w:rPr>
        <w:t>9.</w:t>
      </w:r>
      <w:r w:rsidRPr="007A387F">
        <w:rPr>
          <w:rFonts w:cs="Arial"/>
        </w:rPr>
        <w:tab/>
        <w:t>The invalidity segment of an employment termination payment within the meaning of section 82-150 of the ITAA is income tax-free and is not subject to payroll tax.</w:t>
      </w:r>
    </w:p>
    <w:p w:rsidR="007D06DE" w:rsidRPr="007A387F" w:rsidRDefault="007D06DE" w:rsidP="007D06DE">
      <w:pPr>
        <w:adjustRightInd w:val="0"/>
        <w:spacing w:before="120"/>
        <w:ind w:left="851" w:right="45"/>
        <w:jc w:val="both"/>
        <w:outlineLvl w:val="1"/>
        <w:rPr>
          <w:rFonts w:cs="Arial"/>
          <w:b/>
          <w:iCs/>
          <w:sz w:val="26"/>
          <w:szCs w:val="26"/>
        </w:rPr>
      </w:pPr>
      <w:r w:rsidRPr="007A387F">
        <w:rPr>
          <w:rFonts w:cs="Arial"/>
          <w:b/>
          <w:iCs/>
          <w:sz w:val="26"/>
          <w:szCs w:val="26"/>
        </w:rPr>
        <w:t>Unused Annual Leave and Long Service Leave</w:t>
      </w:r>
    </w:p>
    <w:p w:rsidR="007D06DE" w:rsidRPr="007A387F" w:rsidRDefault="007D06DE" w:rsidP="007D06DE">
      <w:pPr>
        <w:adjustRightInd w:val="0"/>
        <w:spacing w:after="120"/>
        <w:ind w:left="1418" w:right="45" w:hanging="567"/>
        <w:jc w:val="both"/>
        <w:rPr>
          <w:rFonts w:cs="Arial"/>
        </w:rPr>
      </w:pPr>
      <w:r w:rsidRPr="007A387F">
        <w:rPr>
          <w:rFonts w:cs="Arial"/>
        </w:rPr>
        <w:t>10.</w:t>
      </w:r>
      <w:r w:rsidRPr="007A387F">
        <w:rPr>
          <w:rFonts w:cs="Arial"/>
        </w:rPr>
        <w:tab/>
        <w:t>All unused (accrued) annual leave and long service leave paid to an employee upon termination of the employee's services (including a bonus, loading or other additional payment relating to that leave) is subject to payroll tax.</w:t>
      </w:r>
    </w:p>
    <w:p w:rsidR="007D06DE" w:rsidRPr="007A387F" w:rsidRDefault="007D06DE" w:rsidP="007D06DE">
      <w:pPr>
        <w:adjustRightInd w:val="0"/>
        <w:spacing w:before="120" w:after="120"/>
        <w:ind w:left="1418" w:right="46" w:hanging="567"/>
        <w:jc w:val="both"/>
        <w:rPr>
          <w:rFonts w:cs="Arial"/>
        </w:rPr>
      </w:pPr>
      <w:r w:rsidRPr="007A387F">
        <w:rPr>
          <w:rFonts w:cs="Arial"/>
        </w:rPr>
        <w:t>11.</w:t>
      </w:r>
      <w:r w:rsidRPr="007A387F">
        <w:rPr>
          <w:rFonts w:cs="Arial"/>
        </w:rPr>
        <w:tab/>
        <w:t>Unused sick leave paid upon termination of employment forms part of an employment termination payment and is considered in the previous section.</w:t>
      </w:r>
    </w:p>
    <w:p w:rsidR="007D06DE" w:rsidRPr="007A387F" w:rsidRDefault="007D06DE" w:rsidP="007D06DE">
      <w:pPr>
        <w:adjustRightInd w:val="0"/>
        <w:spacing w:before="120"/>
        <w:ind w:left="851" w:right="45"/>
        <w:jc w:val="both"/>
        <w:outlineLvl w:val="1"/>
        <w:rPr>
          <w:rFonts w:cs="Arial"/>
          <w:b/>
          <w:iCs/>
          <w:sz w:val="26"/>
          <w:szCs w:val="26"/>
        </w:rPr>
      </w:pPr>
      <w:r w:rsidRPr="007A387F">
        <w:rPr>
          <w:rFonts w:cs="Arial"/>
          <w:b/>
          <w:iCs/>
          <w:sz w:val="26"/>
          <w:szCs w:val="26"/>
        </w:rPr>
        <w:t>Death Benefit Employment Termination Payments</w:t>
      </w:r>
    </w:p>
    <w:p w:rsidR="007D06DE" w:rsidRPr="007A387F" w:rsidRDefault="007D06DE" w:rsidP="007D06DE">
      <w:pPr>
        <w:tabs>
          <w:tab w:val="left" w:pos="1418"/>
        </w:tabs>
        <w:adjustRightInd w:val="0"/>
        <w:ind w:left="1418" w:right="45" w:hanging="567"/>
        <w:jc w:val="both"/>
        <w:rPr>
          <w:rFonts w:cs="Arial"/>
        </w:rPr>
      </w:pPr>
      <w:r w:rsidRPr="007A387F">
        <w:rPr>
          <w:rFonts w:cs="Arial"/>
        </w:rPr>
        <w:t>12.</w:t>
      </w:r>
      <w:r w:rsidRPr="007A387F">
        <w:rPr>
          <w:rFonts w:cs="Arial"/>
        </w:rPr>
        <w:tab/>
        <w:t>A death benefit employment termination payment is an employment termination payment made as consequence of an employee’s death.  Part of such payments may be income tax-free in the hands of the recipient and this income tax exempt part is exempt from payroll tax.</w:t>
      </w:r>
    </w:p>
    <w:p w:rsidR="007D06DE" w:rsidRPr="007A387F" w:rsidRDefault="007D06DE" w:rsidP="007D06DE">
      <w:pPr>
        <w:adjustRightInd w:val="0"/>
        <w:ind w:left="851"/>
        <w:rPr>
          <w:rFonts w:cs="Arial"/>
          <w:color w:val="000000"/>
        </w:rPr>
      </w:pPr>
    </w:p>
    <w:p w:rsidR="007D06DE" w:rsidRPr="007A387F" w:rsidRDefault="007D06DE" w:rsidP="007D06DE">
      <w:pPr>
        <w:tabs>
          <w:tab w:val="left" w:pos="1305"/>
        </w:tabs>
        <w:adjustRightInd w:val="0"/>
        <w:ind w:left="851"/>
        <w:rPr>
          <w:rFonts w:cs="Arial"/>
          <w:bCs/>
        </w:rPr>
      </w:pPr>
      <w:r>
        <w:rPr>
          <w:rFonts w:cs="Arial"/>
          <w:bCs/>
        </w:rPr>
        <w:t>SIGNED</w:t>
      </w:r>
    </w:p>
    <w:p w:rsidR="007D06DE" w:rsidRPr="007A387F" w:rsidRDefault="007D06DE" w:rsidP="007D06DE">
      <w:pPr>
        <w:adjustRightInd w:val="0"/>
        <w:ind w:left="851"/>
        <w:rPr>
          <w:rFonts w:cs="Arial"/>
          <w:bCs/>
        </w:rPr>
      </w:pPr>
    </w:p>
    <w:p w:rsidR="007D06DE" w:rsidRPr="007A387F" w:rsidRDefault="007D06DE" w:rsidP="007D06DE">
      <w:pPr>
        <w:adjustRightInd w:val="0"/>
        <w:ind w:left="851"/>
        <w:rPr>
          <w:rFonts w:cs="Arial"/>
          <w:bCs/>
        </w:rPr>
      </w:pPr>
      <w:r w:rsidRPr="007A387F">
        <w:rPr>
          <w:rFonts w:cs="Arial"/>
          <w:bCs/>
        </w:rPr>
        <w:t>David Read</w:t>
      </w:r>
    </w:p>
    <w:p w:rsidR="007D06DE" w:rsidRPr="007A387F" w:rsidRDefault="007D06DE" w:rsidP="007D06DE">
      <w:pPr>
        <w:adjustRightInd w:val="0"/>
        <w:ind w:left="851"/>
        <w:rPr>
          <w:rFonts w:cs="Arial"/>
        </w:rPr>
      </w:pPr>
      <w:r w:rsidRPr="007A387F">
        <w:rPr>
          <w:rFonts w:cs="Arial"/>
        </w:rPr>
        <w:t xml:space="preserve">Commissioner for </w:t>
      </w:r>
      <w:smartTag w:uri="urn:schemas-microsoft-com:office:smarttags" w:element="PersonName">
        <w:r w:rsidRPr="007A387F">
          <w:rPr>
            <w:rFonts w:cs="Arial"/>
          </w:rPr>
          <w:t>ACT Revenue</w:t>
        </w:r>
      </w:smartTag>
    </w:p>
    <w:p w:rsidR="00F44A8D" w:rsidRPr="007D06DE" w:rsidRDefault="007D06DE" w:rsidP="007D06DE">
      <w:pPr>
        <w:adjustRightInd w:val="0"/>
        <w:ind w:left="851"/>
        <w:rPr>
          <w:rFonts w:cs="Arial"/>
        </w:rPr>
      </w:pPr>
      <w:r w:rsidRPr="007A387F">
        <w:rPr>
          <w:rFonts w:cs="Arial"/>
        </w:rPr>
        <w:t xml:space="preserve">30 June 2011 </w:t>
      </w:r>
    </w:p>
    <w:sectPr w:rsidR="00F44A8D" w:rsidRPr="007D06DE" w:rsidSect="007D06DE">
      <w:pgSz w:w="11910" w:h="16840" w:code="9"/>
      <w:pgMar w:top="1100" w:right="1278" w:bottom="567" w:left="23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6DE" w:rsidRDefault="007D06DE" w:rsidP="005B0828">
      <w:r>
        <w:separator/>
      </w:r>
    </w:p>
  </w:endnote>
  <w:endnote w:type="continuationSeparator" w:id="0">
    <w:p w:rsidR="007D06DE" w:rsidRDefault="007D06DE" w:rsidP="005B0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DE" w:rsidRDefault="007D06DE">
    <w:pPr>
      <w:pStyle w:val="BodyText"/>
      <w:overflowPunct w:val="0"/>
      <w:spacing w:line="12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DE" w:rsidRPr="00F44A8D" w:rsidRDefault="007D06DE" w:rsidP="00F44A8D">
    <w:pPr>
      <w:jc w:val="center"/>
    </w:pPr>
    <w:r w:rsidRPr="00BA070A">
      <w:rPr>
        <w:b/>
        <w:sz w:val="18"/>
        <w:szCs w:val="18"/>
        <w:lang w:val="it-IT"/>
      </w:rPr>
      <w:t xml:space="preserve">PO Box 293, Civic Square ACT 2608  |  phone: 6207 0028  |  </w:t>
    </w:r>
    <w:hyperlink r:id="rId1" w:history="1">
      <w:r w:rsidRPr="00BA070A">
        <w:rPr>
          <w:rStyle w:val="Hyperlink"/>
          <w:b/>
          <w:sz w:val="18"/>
          <w:szCs w:val="18"/>
          <w:lang w:val="it-IT"/>
        </w:rPr>
        <w:t>www.revenue.act.gov.au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6DE" w:rsidRDefault="007D06DE" w:rsidP="005B0828">
      <w:r w:rsidRPr="005B0828">
        <w:rPr>
          <w:color w:val="000000"/>
        </w:rPr>
        <w:separator/>
      </w:r>
    </w:p>
  </w:footnote>
  <w:footnote w:type="continuationSeparator" w:id="0">
    <w:p w:rsidR="007D06DE" w:rsidRDefault="007D06DE" w:rsidP="005B0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DE" w:rsidRDefault="007D06DE" w:rsidP="00822F9C">
    <w:pPr>
      <w:pStyle w:val="Header"/>
      <w:tabs>
        <w:tab w:val="clear" w:pos="4513"/>
        <w:tab w:val="clear" w:pos="9026"/>
      </w:tabs>
      <w:ind w:left="-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ED4"/>
    <w:multiLevelType w:val="hybridMultilevel"/>
    <w:tmpl w:val="9DE03FA4"/>
    <w:lvl w:ilvl="0" w:tplc="E1565F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5762ABD"/>
    <w:multiLevelType w:val="hybridMultilevel"/>
    <w:tmpl w:val="7A36EAD4"/>
    <w:lvl w:ilvl="0" w:tplc="A40AA902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  <w:lvl w:ilvl="1" w:tplc="E1565F5E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73F2B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874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6836DA"/>
    <w:multiLevelType w:val="hybridMultilevel"/>
    <w:tmpl w:val="142C57A2"/>
    <w:lvl w:ilvl="0" w:tplc="0C0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61" w:hanging="360"/>
      </w:pPr>
      <w:rPr>
        <w:rFonts w:ascii="Wingdings" w:hAnsi="Wingdings" w:hint="default"/>
      </w:rPr>
    </w:lvl>
  </w:abstractNum>
  <w:abstractNum w:abstractNumId="4">
    <w:nsid w:val="28D82E8D"/>
    <w:multiLevelType w:val="hybridMultilevel"/>
    <w:tmpl w:val="F6A0F2E2"/>
    <w:lvl w:ilvl="0" w:tplc="E1565F5E">
      <w:start w:val="1"/>
      <w:numFmt w:val="lowerLetter"/>
      <w:lvlText w:val="(%1)"/>
      <w:lvlJc w:val="left"/>
      <w:pPr>
        <w:ind w:left="2421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37184AE9"/>
    <w:multiLevelType w:val="hybridMultilevel"/>
    <w:tmpl w:val="070EE6DE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453845B3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A2699B"/>
    <w:multiLevelType w:val="hybridMultilevel"/>
    <w:tmpl w:val="423ECE9C"/>
    <w:lvl w:ilvl="0" w:tplc="E1565F5E">
      <w:start w:val="1"/>
      <w:numFmt w:val="lowerLetter"/>
      <w:lvlText w:val="(%1)"/>
      <w:lvlJc w:val="left"/>
      <w:pPr>
        <w:ind w:left="2421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77984627"/>
    <w:multiLevelType w:val="hybridMultilevel"/>
    <w:tmpl w:val="08D2DA84"/>
    <w:lvl w:ilvl="0" w:tplc="E1565F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B0828"/>
    <w:rsid w:val="00054A8E"/>
    <w:rsid w:val="000D649E"/>
    <w:rsid w:val="000D64C3"/>
    <w:rsid w:val="00193116"/>
    <w:rsid w:val="00210C1D"/>
    <w:rsid w:val="002240B1"/>
    <w:rsid w:val="00244887"/>
    <w:rsid w:val="00275FAE"/>
    <w:rsid w:val="002D4321"/>
    <w:rsid w:val="002E6FF3"/>
    <w:rsid w:val="00310E54"/>
    <w:rsid w:val="00391CB7"/>
    <w:rsid w:val="005B0828"/>
    <w:rsid w:val="006B0ECA"/>
    <w:rsid w:val="006B2035"/>
    <w:rsid w:val="007D06DE"/>
    <w:rsid w:val="00822F9C"/>
    <w:rsid w:val="008B1CDE"/>
    <w:rsid w:val="008F0F43"/>
    <w:rsid w:val="00950381"/>
    <w:rsid w:val="00A15D6A"/>
    <w:rsid w:val="00A62D91"/>
    <w:rsid w:val="00A812EA"/>
    <w:rsid w:val="00AD4741"/>
    <w:rsid w:val="00AF7801"/>
    <w:rsid w:val="00BB030C"/>
    <w:rsid w:val="00BE0B6D"/>
    <w:rsid w:val="00BF64D2"/>
    <w:rsid w:val="00C81C69"/>
    <w:rsid w:val="00C82405"/>
    <w:rsid w:val="00C8554F"/>
    <w:rsid w:val="00CD0ACD"/>
    <w:rsid w:val="00CD6913"/>
    <w:rsid w:val="00D908F9"/>
    <w:rsid w:val="00DA0B26"/>
    <w:rsid w:val="00DA6ED5"/>
    <w:rsid w:val="00F4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979">
                  <w:marLeft w:val="0"/>
                  <w:marRight w:val="0"/>
                  <w:marTop w:val="0"/>
                  <w:marBottom w:val="136"/>
                  <w:divBdr>
                    <w:top w:val="single" w:sz="6" w:space="5" w:color="143351"/>
                    <w:left w:val="single" w:sz="6" w:space="10" w:color="143351"/>
                    <w:bottom w:val="single" w:sz="6" w:space="5" w:color="143351"/>
                    <w:right w:val="single" w:sz="6" w:space="10" w:color="143351"/>
                  </w:divBdr>
                  <w:divsChild>
                    <w:div w:id="20629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F4767-0EB1-4859-B26D-E24F13C1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Zilic</dc:creator>
  <cp:lastModifiedBy>Tereza Zilic</cp:lastModifiedBy>
  <cp:revision>5</cp:revision>
  <cp:lastPrinted>2017-05-08T23:51:00Z</cp:lastPrinted>
  <dcterms:created xsi:type="dcterms:W3CDTF">2017-05-10T23:44:00Z</dcterms:created>
  <dcterms:modified xsi:type="dcterms:W3CDTF">2017-05-11T05:08:00Z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