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C37815" w:rsidP="009F0FE9">
      <w:pPr>
        <w:pStyle w:val="BodyText"/>
        <w:overflowPunct w:val="0"/>
        <w:ind w:left="-142"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16"/>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E81FA3">
            <w:pPr>
              <w:jc w:val="both"/>
              <w:rPr>
                <w:b/>
                <w:lang w:eastAsia="en-US"/>
              </w:rPr>
            </w:pPr>
            <w:r>
              <w:rPr>
                <w:b/>
                <w:lang w:eastAsia="en-US"/>
              </w:rPr>
              <w:t xml:space="preserve">REVENUE CIRCULAR </w:t>
            </w:r>
            <w:r w:rsidR="00CF5275">
              <w:rPr>
                <w:b/>
                <w:lang w:eastAsia="en-US"/>
              </w:rPr>
              <w:t>DAA009.2</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CF5275" w:rsidP="00CF5275">
            <w:pPr>
              <w:jc w:val="both"/>
              <w:rPr>
                <w:lang w:eastAsia="en-US"/>
              </w:rPr>
            </w:pPr>
            <w:r>
              <w:rPr>
                <w:lang w:eastAsia="en-US"/>
              </w:rPr>
              <w:t xml:space="preserve">Motor Vehicle Registration Duty: Exemptions - </w:t>
            </w:r>
            <w:r w:rsidR="00E81FA3" w:rsidRPr="00E81FA3">
              <w:rPr>
                <w:i/>
                <w:lang w:eastAsia="en-US"/>
              </w:rPr>
              <w:t>Duties Act 1999</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CF5275">
            <w:pPr>
              <w:jc w:val="both"/>
              <w:rPr>
                <w:lang w:eastAsia="en-US"/>
              </w:rPr>
            </w:pPr>
            <w:r>
              <w:rPr>
                <w:lang w:eastAsia="en-US"/>
              </w:rPr>
              <w:t xml:space="preserve">Issue Date: </w:t>
            </w:r>
            <w:r w:rsidR="00CF5275">
              <w:rPr>
                <w:lang w:eastAsia="en-US"/>
              </w:rPr>
              <w:t>25 November 2015</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CF5275">
            <w:pPr>
              <w:jc w:val="both"/>
            </w:pPr>
            <w:r>
              <w:t>Status: Current</w:t>
            </w:r>
            <w:r w:rsidR="00BB7D19">
              <w:t xml:space="preserve"> – Effective </w:t>
            </w:r>
            <w:r w:rsidR="00E81FA3">
              <w:t>2</w:t>
            </w:r>
            <w:r w:rsidR="00CF5275">
              <w:t>5</w:t>
            </w:r>
            <w:r w:rsidR="00A970B8">
              <w:t xml:space="preserve"> November 201</w:t>
            </w:r>
            <w:r w:rsidR="00CF5275">
              <w:t>5</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A970B8">
            <w:pPr>
              <w:jc w:val="both"/>
            </w:pPr>
            <w:r>
              <w:t xml:space="preserve">Previous Circular: </w:t>
            </w:r>
            <w:r w:rsidR="00E81FA3">
              <w:t>D</w:t>
            </w:r>
            <w:r w:rsidR="00CF5275">
              <w:t>AA009.1</w:t>
            </w:r>
          </w:p>
        </w:tc>
      </w:tr>
    </w:tbl>
    <w:p w:rsidR="00F44A8D" w:rsidRPr="00AD4741" w:rsidRDefault="00BB7D19" w:rsidP="00E81FA3">
      <w:pPr>
        <w:pStyle w:val="Heading1"/>
        <w:spacing w:before="60" w:after="60" w:line="240" w:lineRule="auto"/>
        <w:ind w:left="1701" w:hanging="567"/>
        <w:jc w:val="both"/>
      </w:pPr>
      <w:r>
        <w:t>Preamble</w:t>
      </w:r>
    </w:p>
    <w:p w:rsidR="00CF5275" w:rsidRDefault="00CF5275" w:rsidP="00CF5275">
      <w:pPr>
        <w:pStyle w:val="ListParagraph"/>
        <w:widowControl/>
        <w:numPr>
          <w:ilvl w:val="0"/>
          <w:numId w:val="1"/>
        </w:numPr>
        <w:suppressAutoHyphens w:val="0"/>
        <w:autoSpaceDE/>
        <w:autoSpaceDN/>
        <w:ind w:left="1560" w:hanging="426"/>
        <w:contextualSpacing/>
        <w:jc w:val="both"/>
        <w:textAlignment w:val="auto"/>
      </w:pPr>
      <w:r>
        <w:t xml:space="preserve">Chapter 9 of the </w:t>
      </w:r>
      <w:r>
        <w:rPr>
          <w:i/>
        </w:rPr>
        <w:t xml:space="preserve">Duties Act 1999 </w:t>
      </w:r>
      <w:r>
        <w:t>(the Act) imposes duty for an application for the registration of a motor vehicle, or the transfer of registration, and allows for certain exemptions.</w:t>
      </w:r>
    </w:p>
    <w:p w:rsidR="00CF5275" w:rsidRDefault="00CF5275" w:rsidP="00CF5275">
      <w:pPr>
        <w:pStyle w:val="ListParagraph"/>
        <w:widowControl/>
        <w:numPr>
          <w:ilvl w:val="0"/>
          <w:numId w:val="1"/>
        </w:numPr>
        <w:suppressAutoHyphens w:val="0"/>
        <w:autoSpaceDE/>
        <w:autoSpaceDN/>
        <w:spacing w:before="60"/>
        <w:ind w:left="1560" w:hanging="426"/>
        <w:contextualSpacing/>
        <w:jc w:val="both"/>
        <w:textAlignment w:val="auto"/>
      </w:pPr>
      <w:r>
        <w:t>This circular provides details of the duty exemption provisions in part 9.2 of the Act.</w:t>
      </w:r>
    </w:p>
    <w:p w:rsidR="00E81FA3" w:rsidRDefault="00F44A8D" w:rsidP="00CF5275">
      <w:pPr>
        <w:pStyle w:val="Heading1"/>
        <w:spacing w:before="0" w:line="240" w:lineRule="auto"/>
        <w:ind w:left="1134" w:firstLine="0"/>
        <w:jc w:val="both"/>
        <w:rPr>
          <w:rFonts w:asciiTheme="minorHAnsi" w:hAnsiTheme="minorHAnsi"/>
        </w:rPr>
      </w:pPr>
      <w:r w:rsidRPr="00AD4741">
        <w:rPr>
          <w:rFonts w:asciiTheme="minorHAnsi" w:hAnsiTheme="minorHAnsi"/>
        </w:rPr>
        <w:t>Circular</w:t>
      </w:r>
    </w:p>
    <w:p w:rsidR="00CF5275" w:rsidRDefault="00CF5275" w:rsidP="00CF5275">
      <w:pPr>
        <w:pStyle w:val="Heading2"/>
        <w:spacing w:before="0"/>
        <w:ind w:left="1134" w:firstLine="0"/>
      </w:pPr>
      <w:r>
        <w:t>Access Canberra</w:t>
      </w:r>
    </w:p>
    <w:p w:rsidR="00CF5275" w:rsidRDefault="00CF5275" w:rsidP="00CF5275">
      <w:pPr>
        <w:pStyle w:val="ListParagraph"/>
        <w:widowControl/>
        <w:numPr>
          <w:ilvl w:val="0"/>
          <w:numId w:val="1"/>
        </w:numPr>
        <w:suppressAutoHyphens w:val="0"/>
        <w:autoSpaceDE/>
        <w:autoSpaceDN/>
        <w:spacing w:before="60" w:after="60"/>
        <w:ind w:left="1560" w:hanging="426"/>
        <w:contextualSpacing/>
        <w:jc w:val="both"/>
        <w:textAlignment w:val="auto"/>
      </w:pPr>
      <w:r>
        <w:t>By administrative arrangement, Access Canberra processes most exemptions from motor vehicle registration duty at the same time as the registration.</w:t>
      </w:r>
    </w:p>
    <w:p w:rsidR="00CF5275" w:rsidRDefault="00CF5275" w:rsidP="00CF5275">
      <w:pPr>
        <w:pStyle w:val="ListParagraph"/>
        <w:widowControl/>
        <w:numPr>
          <w:ilvl w:val="0"/>
          <w:numId w:val="1"/>
        </w:numPr>
        <w:suppressAutoHyphens w:val="0"/>
        <w:autoSpaceDE/>
        <w:autoSpaceDN/>
        <w:spacing w:before="60" w:after="60"/>
        <w:ind w:left="1560" w:hanging="426"/>
        <w:contextualSpacing/>
        <w:jc w:val="both"/>
        <w:textAlignment w:val="auto"/>
      </w:pPr>
      <w:r>
        <w:t>The Act requires an applicant seeking an exemption to provide Access Canberra (as the ACT Road Transport Authority) any relevant information to allow it to process the exemption.</w:t>
      </w:r>
    </w:p>
    <w:p w:rsidR="00CF5275" w:rsidRDefault="00CF5275" w:rsidP="00CF5275">
      <w:pPr>
        <w:pStyle w:val="ListParagraph"/>
        <w:widowControl/>
        <w:numPr>
          <w:ilvl w:val="0"/>
          <w:numId w:val="1"/>
        </w:numPr>
        <w:suppressAutoHyphens w:val="0"/>
        <w:autoSpaceDE/>
        <w:autoSpaceDN/>
        <w:spacing w:before="60" w:after="60"/>
        <w:ind w:left="1560" w:hanging="426"/>
        <w:contextualSpacing/>
        <w:jc w:val="both"/>
        <w:textAlignment w:val="auto"/>
      </w:pPr>
      <w:r>
        <w:t>Access Canberra is required to report monthly on all transactions processed during the month to the ACT Revenue Office. Access Canberra must also provide all documentation associated with an application if requested by the Commissioner for ACT Revenue (the Commissioner).</w:t>
      </w:r>
    </w:p>
    <w:p w:rsidR="00CF5275" w:rsidRDefault="00CF5275" w:rsidP="00CF5275">
      <w:pPr>
        <w:pStyle w:val="Heading2"/>
        <w:spacing w:before="60"/>
        <w:ind w:left="1560" w:hanging="426"/>
      </w:pPr>
      <w:r>
        <w:t>Exemptions processed by Access Canberra</w:t>
      </w:r>
    </w:p>
    <w:p w:rsidR="00CF5275" w:rsidRDefault="00CF5275" w:rsidP="00CF5275">
      <w:pPr>
        <w:pStyle w:val="ListParagraph"/>
        <w:widowControl/>
        <w:numPr>
          <w:ilvl w:val="0"/>
          <w:numId w:val="1"/>
        </w:numPr>
        <w:suppressAutoHyphens w:val="0"/>
        <w:autoSpaceDE/>
        <w:autoSpaceDN/>
        <w:spacing w:after="60"/>
        <w:ind w:left="1559" w:hanging="425"/>
        <w:jc w:val="both"/>
        <w:textAlignment w:val="auto"/>
      </w:pPr>
      <w:r>
        <w:t>Access Canberra has been authorised by the Commissioner to process applications for duty exemption under the following exemption categories:</w:t>
      </w:r>
    </w:p>
    <w:tbl>
      <w:tblPr>
        <w:tblStyle w:val="TableGrid"/>
        <w:tblW w:w="9639" w:type="dxa"/>
        <w:tblInd w:w="1242" w:type="dxa"/>
        <w:tblLook w:val="01E0"/>
      </w:tblPr>
      <w:tblGrid>
        <w:gridCol w:w="1985"/>
        <w:gridCol w:w="7654"/>
      </w:tblGrid>
      <w:tr w:rsidR="00CF5275" w:rsidTr="009939A8">
        <w:trPr>
          <w:trHeight w:val="293"/>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rsidR="00CF5275" w:rsidRPr="00CF5275" w:rsidRDefault="00CF5275" w:rsidP="00CF5275">
            <w:pPr>
              <w:autoSpaceDN w:val="0"/>
              <w:adjustRightInd w:val="0"/>
              <w:jc w:val="both"/>
              <w:rPr>
                <w:rFonts w:cs="Arial"/>
                <w:b/>
                <w:bCs/>
                <w:sz w:val="22"/>
                <w:szCs w:val="22"/>
                <w:lang w:val="en-AU"/>
              </w:rPr>
            </w:pPr>
            <w:r w:rsidRPr="00CF5275">
              <w:rPr>
                <w:rFonts w:cs="Arial"/>
                <w:b/>
                <w:bCs/>
                <w:sz w:val="22"/>
                <w:szCs w:val="22"/>
                <w:lang w:val="en-AU"/>
              </w:rPr>
              <w:t>Section of the Act</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rsidR="00CF5275" w:rsidRPr="00CF5275" w:rsidRDefault="00CF5275" w:rsidP="00CF5275">
            <w:pPr>
              <w:autoSpaceDN w:val="0"/>
              <w:adjustRightInd w:val="0"/>
              <w:jc w:val="both"/>
              <w:rPr>
                <w:rFonts w:cs="Arial"/>
                <w:b/>
                <w:bCs/>
                <w:sz w:val="22"/>
                <w:szCs w:val="22"/>
                <w:lang w:val="en-AU"/>
              </w:rPr>
            </w:pPr>
            <w:r w:rsidRPr="00CF5275">
              <w:rPr>
                <w:rFonts w:cs="Arial"/>
                <w:b/>
                <w:bCs/>
                <w:sz w:val="22"/>
                <w:szCs w:val="22"/>
                <w:lang w:val="en-AU"/>
              </w:rPr>
              <w:t>Exemption</w:t>
            </w:r>
          </w:p>
        </w:tc>
      </w:tr>
      <w:tr w:rsidR="00CF5275" w:rsidTr="009939A8">
        <w:trPr>
          <w:trHeight w:val="151"/>
        </w:trPr>
        <w:tc>
          <w:tcPr>
            <w:tcW w:w="198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F5275" w:rsidRPr="00CF5275" w:rsidRDefault="00CF5275" w:rsidP="00CF5275">
            <w:pPr>
              <w:autoSpaceDN w:val="0"/>
              <w:adjustRightInd w:val="0"/>
              <w:jc w:val="both"/>
              <w:rPr>
                <w:rFonts w:cs="Arial"/>
                <w:bCs/>
                <w:sz w:val="22"/>
                <w:szCs w:val="22"/>
                <w:lang w:val="en-AU"/>
              </w:rPr>
            </w:pPr>
            <w:r w:rsidRPr="00CF5275">
              <w:rPr>
                <w:rFonts w:cs="Arial"/>
                <w:bCs/>
                <w:sz w:val="22"/>
                <w:szCs w:val="22"/>
                <w:lang w:val="en-AU"/>
              </w:rPr>
              <w:t>09</w:t>
            </w:r>
          </w:p>
        </w:tc>
        <w:tc>
          <w:tcPr>
            <w:tcW w:w="76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F5275" w:rsidRPr="00CF5275" w:rsidRDefault="00CF5275" w:rsidP="00CF5275">
            <w:pPr>
              <w:autoSpaceDN w:val="0"/>
              <w:adjustRightInd w:val="0"/>
              <w:jc w:val="both"/>
              <w:rPr>
                <w:rFonts w:cs="Arial"/>
                <w:bCs/>
                <w:sz w:val="22"/>
                <w:szCs w:val="22"/>
                <w:lang w:val="en-AU"/>
              </w:rPr>
            </w:pPr>
            <w:r w:rsidRPr="00CF5275">
              <w:rPr>
                <w:rFonts w:cs="Arial"/>
                <w:bCs/>
                <w:sz w:val="22"/>
                <w:szCs w:val="22"/>
                <w:lang w:val="en-AU"/>
              </w:rPr>
              <w:t>Government vehicles</w:t>
            </w:r>
          </w:p>
        </w:tc>
      </w:tr>
      <w:tr w:rsidR="00CF5275" w:rsidTr="009939A8">
        <w:trPr>
          <w:trHeight w:val="151"/>
        </w:trPr>
        <w:tc>
          <w:tcPr>
            <w:tcW w:w="198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F5275" w:rsidRPr="00CF5275" w:rsidRDefault="00CF5275" w:rsidP="00CF5275">
            <w:pPr>
              <w:autoSpaceDN w:val="0"/>
              <w:adjustRightInd w:val="0"/>
              <w:jc w:val="both"/>
              <w:rPr>
                <w:rFonts w:cs="Arial"/>
                <w:bCs/>
                <w:sz w:val="22"/>
                <w:szCs w:val="22"/>
                <w:lang w:val="en-AU"/>
              </w:rPr>
            </w:pPr>
            <w:r w:rsidRPr="00CF5275">
              <w:rPr>
                <w:rFonts w:cs="Arial"/>
                <w:bCs/>
                <w:sz w:val="22"/>
                <w:szCs w:val="22"/>
                <w:lang w:val="en-AU"/>
              </w:rPr>
              <w:t>209A</w:t>
            </w:r>
          </w:p>
        </w:tc>
        <w:tc>
          <w:tcPr>
            <w:tcW w:w="76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F5275" w:rsidRPr="00CF5275" w:rsidRDefault="00CF5275" w:rsidP="00CF5275">
            <w:pPr>
              <w:autoSpaceDN w:val="0"/>
              <w:adjustRightInd w:val="0"/>
              <w:jc w:val="both"/>
              <w:rPr>
                <w:rFonts w:cs="Arial"/>
                <w:bCs/>
                <w:sz w:val="22"/>
                <w:szCs w:val="22"/>
                <w:lang w:val="en-AU"/>
              </w:rPr>
            </w:pPr>
            <w:r w:rsidRPr="00CF5275">
              <w:rPr>
                <w:rFonts w:cs="Arial"/>
                <w:bCs/>
                <w:sz w:val="22"/>
                <w:szCs w:val="22"/>
                <w:lang w:val="en-AU"/>
              </w:rPr>
              <w:t>Foreign countries</w:t>
            </w:r>
          </w:p>
        </w:tc>
      </w:tr>
      <w:tr w:rsidR="00CF5275" w:rsidTr="009939A8">
        <w:trPr>
          <w:trHeight w:val="151"/>
        </w:trPr>
        <w:tc>
          <w:tcPr>
            <w:tcW w:w="198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F5275" w:rsidRPr="00CF5275" w:rsidRDefault="00CF5275" w:rsidP="00CF5275">
            <w:pPr>
              <w:autoSpaceDN w:val="0"/>
              <w:adjustRightInd w:val="0"/>
              <w:jc w:val="both"/>
              <w:rPr>
                <w:rFonts w:cs="Arial"/>
                <w:bCs/>
                <w:sz w:val="22"/>
                <w:szCs w:val="22"/>
                <w:lang w:val="en-AU"/>
              </w:rPr>
            </w:pPr>
            <w:r w:rsidRPr="00CF5275">
              <w:rPr>
                <w:rFonts w:cs="Arial"/>
                <w:bCs/>
                <w:sz w:val="22"/>
                <w:szCs w:val="22"/>
                <w:lang w:val="en-AU"/>
              </w:rPr>
              <w:t>209B</w:t>
            </w:r>
          </w:p>
        </w:tc>
        <w:tc>
          <w:tcPr>
            <w:tcW w:w="76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F5275" w:rsidRPr="00CF5275" w:rsidRDefault="00CF5275" w:rsidP="00CF5275">
            <w:pPr>
              <w:autoSpaceDN w:val="0"/>
              <w:adjustRightInd w:val="0"/>
              <w:jc w:val="both"/>
              <w:rPr>
                <w:rFonts w:cs="Arial"/>
                <w:bCs/>
                <w:sz w:val="22"/>
                <w:szCs w:val="22"/>
                <w:lang w:val="en-AU"/>
              </w:rPr>
            </w:pPr>
            <w:r w:rsidRPr="00CF5275">
              <w:rPr>
                <w:rFonts w:cs="Arial"/>
                <w:bCs/>
                <w:sz w:val="22"/>
                <w:szCs w:val="22"/>
                <w:lang w:val="en-AU"/>
              </w:rPr>
              <w:t>International organisations and diplomats</w:t>
            </w:r>
          </w:p>
        </w:tc>
      </w:tr>
      <w:tr w:rsidR="00CF5275" w:rsidTr="009939A8">
        <w:trPr>
          <w:trHeight w:val="151"/>
        </w:trPr>
        <w:tc>
          <w:tcPr>
            <w:tcW w:w="198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F5275" w:rsidRPr="00CF5275" w:rsidRDefault="00CF5275" w:rsidP="00CF5275">
            <w:pPr>
              <w:autoSpaceDN w:val="0"/>
              <w:adjustRightInd w:val="0"/>
              <w:jc w:val="both"/>
              <w:rPr>
                <w:rFonts w:cs="Arial"/>
                <w:bCs/>
                <w:sz w:val="22"/>
                <w:szCs w:val="22"/>
                <w:lang w:val="en-AU"/>
              </w:rPr>
            </w:pPr>
            <w:r w:rsidRPr="00CF5275">
              <w:rPr>
                <w:rFonts w:cs="Arial"/>
                <w:bCs/>
                <w:sz w:val="22"/>
                <w:szCs w:val="22"/>
                <w:lang w:val="en-AU"/>
              </w:rPr>
              <w:t>209C</w:t>
            </w:r>
          </w:p>
        </w:tc>
        <w:tc>
          <w:tcPr>
            <w:tcW w:w="76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F5275" w:rsidRPr="00CF5275" w:rsidRDefault="00CF5275" w:rsidP="00CF5275">
            <w:pPr>
              <w:autoSpaceDN w:val="0"/>
              <w:adjustRightInd w:val="0"/>
              <w:jc w:val="both"/>
              <w:rPr>
                <w:rFonts w:cs="Arial"/>
                <w:bCs/>
                <w:sz w:val="22"/>
                <w:szCs w:val="22"/>
                <w:lang w:val="en-AU"/>
              </w:rPr>
            </w:pPr>
            <w:r w:rsidRPr="00CF5275">
              <w:rPr>
                <w:rFonts w:cs="Arial"/>
                <w:bCs/>
                <w:sz w:val="22"/>
                <w:szCs w:val="22"/>
                <w:lang w:val="en-AU"/>
              </w:rPr>
              <w:t>Status of forces agreements</w:t>
            </w:r>
          </w:p>
        </w:tc>
      </w:tr>
      <w:tr w:rsidR="00CF5275" w:rsidTr="009939A8">
        <w:trPr>
          <w:trHeight w:val="151"/>
        </w:trPr>
        <w:tc>
          <w:tcPr>
            <w:tcW w:w="198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F5275" w:rsidRPr="00CF5275" w:rsidRDefault="00CF5275" w:rsidP="00CF5275">
            <w:pPr>
              <w:autoSpaceDN w:val="0"/>
              <w:adjustRightInd w:val="0"/>
              <w:jc w:val="both"/>
              <w:rPr>
                <w:rFonts w:cs="Arial"/>
                <w:bCs/>
                <w:sz w:val="22"/>
                <w:szCs w:val="22"/>
                <w:lang w:val="en-AU"/>
              </w:rPr>
            </w:pPr>
            <w:r w:rsidRPr="00CF5275">
              <w:rPr>
                <w:rFonts w:cs="Arial"/>
                <w:bCs/>
                <w:sz w:val="22"/>
                <w:szCs w:val="22"/>
                <w:lang w:val="en-AU"/>
              </w:rPr>
              <w:t>210</w:t>
            </w:r>
          </w:p>
        </w:tc>
        <w:tc>
          <w:tcPr>
            <w:tcW w:w="76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F5275" w:rsidRPr="00CF5275" w:rsidRDefault="00CF5275" w:rsidP="00CF5275">
            <w:pPr>
              <w:autoSpaceDN w:val="0"/>
              <w:adjustRightInd w:val="0"/>
              <w:jc w:val="both"/>
              <w:rPr>
                <w:rFonts w:cs="Arial"/>
                <w:bCs/>
                <w:sz w:val="22"/>
                <w:szCs w:val="22"/>
                <w:lang w:val="en-AU"/>
              </w:rPr>
            </w:pPr>
            <w:r w:rsidRPr="00CF5275">
              <w:rPr>
                <w:rFonts w:cs="Arial"/>
                <w:bCs/>
                <w:sz w:val="22"/>
                <w:szCs w:val="22"/>
                <w:lang w:val="en-AU"/>
              </w:rPr>
              <w:t>Hospitals and schools</w:t>
            </w:r>
          </w:p>
        </w:tc>
      </w:tr>
      <w:tr w:rsidR="00CF5275" w:rsidTr="009939A8">
        <w:trPr>
          <w:trHeight w:val="151"/>
        </w:trPr>
        <w:tc>
          <w:tcPr>
            <w:tcW w:w="198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F5275" w:rsidRPr="00CF5275" w:rsidRDefault="00CF5275" w:rsidP="00CF5275">
            <w:pPr>
              <w:autoSpaceDN w:val="0"/>
              <w:adjustRightInd w:val="0"/>
              <w:jc w:val="both"/>
              <w:rPr>
                <w:rFonts w:cs="Arial"/>
                <w:bCs/>
                <w:sz w:val="22"/>
                <w:szCs w:val="22"/>
                <w:lang w:val="en-AU"/>
              </w:rPr>
            </w:pPr>
            <w:r w:rsidRPr="00CF5275">
              <w:rPr>
                <w:rFonts w:cs="Arial"/>
                <w:bCs/>
                <w:sz w:val="22"/>
                <w:szCs w:val="22"/>
                <w:lang w:val="en-AU"/>
              </w:rPr>
              <w:t>211</w:t>
            </w:r>
          </w:p>
        </w:tc>
        <w:tc>
          <w:tcPr>
            <w:tcW w:w="76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F5275" w:rsidRPr="00CF5275" w:rsidRDefault="00CF5275" w:rsidP="00CF5275">
            <w:pPr>
              <w:autoSpaceDN w:val="0"/>
              <w:adjustRightInd w:val="0"/>
              <w:jc w:val="both"/>
              <w:rPr>
                <w:rFonts w:cs="Arial"/>
                <w:bCs/>
                <w:sz w:val="22"/>
                <w:szCs w:val="22"/>
                <w:lang w:val="en-AU"/>
              </w:rPr>
            </w:pPr>
            <w:r w:rsidRPr="00CF5275">
              <w:rPr>
                <w:rFonts w:cs="Arial"/>
                <w:bCs/>
                <w:sz w:val="22"/>
                <w:szCs w:val="22"/>
                <w:lang w:val="en-AU"/>
              </w:rPr>
              <w:t>Certain disabled people</w:t>
            </w:r>
          </w:p>
        </w:tc>
      </w:tr>
      <w:tr w:rsidR="00CF5275" w:rsidTr="009939A8">
        <w:trPr>
          <w:trHeight w:val="151"/>
        </w:trPr>
        <w:tc>
          <w:tcPr>
            <w:tcW w:w="198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F5275" w:rsidRPr="00CF5275" w:rsidRDefault="00CF5275" w:rsidP="00CF5275">
            <w:pPr>
              <w:autoSpaceDN w:val="0"/>
              <w:adjustRightInd w:val="0"/>
              <w:jc w:val="both"/>
              <w:rPr>
                <w:rFonts w:cs="Arial"/>
                <w:bCs/>
                <w:sz w:val="22"/>
                <w:szCs w:val="22"/>
                <w:lang w:val="en-AU"/>
              </w:rPr>
            </w:pPr>
            <w:r w:rsidRPr="00CF5275">
              <w:rPr>
                <w:rFonts w:cs="Arial"/>
                <w:bCs/>
                <w:sz w:val="22"/>
                <w:szCs w:val="22"/>
                <w:lang w:val="en-AU"/>
              </w:rPr>
              <w:t>211A</w:t>
            </w:r>
          </w:p>
        </w:tc>
        <w:tc>
          <w:tcPr>
            <w:tcW w:w="76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F5275" w:rsidRPr="00CF5275" w:rsidRDefault="00CF5275" w:rsidP="00CF5275">
            <w:pPr>
              <w:autoSpaceDN w:val="0"/>
              <w:adjustRightInd w:val="0"/>
              <w:jc w:val="both"/>
              <w:rPr>
                <w:rFonts w:cs="Arial"/>
                <w:bCs/>
                <w:sz w:val="22"/>
                <w:szCs w:val="22"/>
                <w:lang w:val="en-AU"/>
              </w:rPr>
            </w:pPr>
            <w:r w:rsidRPr="00CF5275">
              <w:rPr>
                <w:rFonts w:cs="Arial"/>
                <w:bCs/>
                <w:sz w:val="22"/>
                <w:szCs w:val="22"/>
                <w:lang w:val="en-AU"/>
              </w:rPr>
              <w:t>Partial exemption—modified vehicles for people with disabilities</w:t>
            </w:r>
          </w:p>
        </w:tc>
      </w:tr>
      <w:tr w:rsidR="00CF5275" w:rsidTr="009939A8">
        <w:trPr>
          <w:trHeight w:val="151"/>
        </w:trPr>
        <w:tc>
          <w:tcPr>
            <w:tcW w:w="198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F5275" w:rsidRPr="00CF5275" w:rsidRDefault="00CF5275" w:rsidP="00CF5275">
            <w:pPr>
              <w:autoSpaceDN w:val="0"/>
              <w:adjustRightInd w:val="0"/>
              <w:jc w:val="both"/>
              <w:rPr>
                <w:rFonts w:cs="Arial"/>
                <w:bCs/>
                <w:sz w:val="22"/>
                <w:szCs w:val="22"/>
                <w:lang w:val="en-AU"/>
              </w:rPr>
            </w:pPr>
            <w:r w:rsidRPr="00CF5275">
              <w:rPr>
                <w:rFonts w:cs="Arial"/>
                <w:bCs/>
                <w:sz w:val="22"/>
                <w:szCs w:val="22"/>
                <w:lang w:val="en-AU"/>
              </w:rPr>
              <w:t>212</w:t>
            </w:r>
          </w:p>
        </w:tc>
        <w:tc>
          <w:tcPr>
            <w:tcW w:w="76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F5275" w:rsidRPr="00CF5275" w:rsidRDefault="00CF5275" w:rsidP="00CF5275">
            <w:pPr>
              <w:autoSpaceDN w:val="0"/>
              <w:adjustRightInd w:val="0"/>
              <w:jc w:val="both"/>
              <w:rPr>
                <w:rFonts w:cs="Arial"/>
                <w:bCs/>
                <w:sz w:val="22"/>
                <w:szCs w:val="22"/>
                <w:lang w:val="en-AU"/>
              </w:rPr>
            </w:pPr>
            <w:r w:rsidRPr="00CF5275">
              <w:rPr>
                <w:rFonts w:cs="Arial"/>
                <w:bCs/>
                <w:sz w:val="22"/>
                <w:szCs w:val="22"/>
                <w:lang w:val="en-AU"/>
              </w:rPr>
              <w:t>Successors of deceased people</w:t>
            </w:r>
          </w:p>
        </w:tc>
      </w:tr>
    </w:tbl>
    <w:p w:rsidR="00F44A8D" w:rsidRDefault="00F44A8D" w:rsidP="00E81FA3">
      <w:pPr>
        <w:pStyle w:val="Heading2"/>
        <w:ind w:left="1134" w:firstLine="0"/>
        <w:jc w:val="both"/>
      </w:pPr>
    </w:p>
    <w:p w:rsidR="00F44A8D" w:rsidRDefault="00F44A8D" w:rsidP="00AD4741">
      <w:pPr>
        <w:pStyle w:val="Heading2"/>
        <w:ind w:left="1701"/>
        <w:jc w:val="both"/>
        <w:sectPr w:rsidR="00F44A8D" w:rsidSect="009F0FE9">
          <w:headerReference w:type="default" r:id="rId9"/>
          <w:footerReference w:type="default" r:id="rId10"/>
          <w:footerReference w:type="first" r:id="rId11"/>
          <w:pgSz w:w="11910" w:h="16840" w:code="9"/>
          <w:pgMar w:top="-9" w:right="1137" w:bottom="567" w:left="0" w:header="0" w:footer="318" w:gutter="0"/>
          <w:cols w:space="720"/>
          <w:titlePg/>
          <w:docGrid w:linePitch="326"/>
        </w:sectPr>
      </w:pPr>
    </w:p>
    <w:tbl>
      <w:tblPr>
        <w:tblStyle w:val="TableGrid"/>
        <w:tblW w:w="9922" w:type="dxa"/>
        <w:tblInd w:w="959" w:type="dxa"/>
        <w:tblLook w:val="01E0"/>
      </w:tblPr>
      <w:tblGrid>
        <w:gridCol w:w="1984"/>
        <w:gridCol w:w="7938"/>
      </w:tblGrid>
      <w:tr w:rsidR="009939A8" w:rsidTr="009939A8">
        <w:trPr>
          <w:trHeight w:val="151"/>
        </w:trPr>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rsidR="009939A8" w:rsidRPr="00CF5275" w:rsidRDefault="009939A8" w:rsidP="00E47A67">
            <w:pPr>
              <w:autoSpaceDN w:val="0"/>
              <w:adjustRightInd w:val="0"/>
              <w:jc w:val="both"/>
              <w:rPr>
                <w:rFonts w:cs="Arial"/>
                <w:bCs/>
                <w:sz w:val="22"/>
                <w:szCs w:val="22"/>
                <w:lang w:val="en-AU"/>
              </w:rPr>
            </w:pPr>
            <w:r w:rsidRPr="00CF5275">
              <w:rPr>
                <w:rFonts w:cs="Arial"/>
                <w:b/>
                <w:bCs/>
                <w:sz w:val="22"/>
                <w:szCs w:val="22"/>
                <w:lang w:val="en-AU"/>
              </w:rPr>
              <w:lastRenderedPageBreak/>
              <w:t>Section of the Act</w:t>
            </w:r>
          </w:p>
        </w:tc>
        <w:tc>
          <w:tcPr>
            <w:tcW w:w="7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rsidR="009939A8" w:rsidRPr="00CF5275" w:rsidRDefault="009939A8" w:rsidP="00E47A67">
            <w:pPr>
              <w:autoSpaceDN w:val="0"/>
              <w:adjustRightInd w:val="0"/>
              <w:jc w:val="both"/>
              <w:rPr>
                <w:rFonts w:cs="Arial"/>
                <w:bCs/>
                <w:sz w:val="22"/>
                <w:szCs w:val="22"/>
                <w:lang w:val="en-AU"/>
              </w:rPr>
            </w:pPr>
            <w:r w:rsidRPr="00CF5275">
              <w:rPr>
                <w:rFonts w:cs="Arial"/>
                <w:b/>
                <w:bCs/>
                <w:sz w:val="22"/>
                <w:szCs w:val="22"/>
                <w:lang w:val="en-AU"/>
              </w:rPr>
              <w:t>Exemption</w:t>
            </w:r>
          </w:p>
        </w:tc>
      </w:tr>
      <w:tr w:rsidR="009939A8" w:rsidTr="009939A8">
        <w:trPr>
          <w:trHeight w:val="151"/>
        </w:trPr>
        <w:tc>
          <w:tcPr>
            <w:tcW w:w="198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939A8" w:rsidRPr="00CF5275" w:rsidRDefault="009939A8" w:rsidP="00E47A67">
            <w:pPr>
              <w:adjustRightInd w:val="0"/>
              <w:jc w:val="both"/>
              <w:rPr>
                <w:rFonts w:cs="Arial"/>
                <w:bCs/>
                <w:sz w:val="22"/>
                <w:szCs w:val="22"/>
              </w:rPr>
            </w:pPr>
            <w:r w:rsidRPr="00CF5275">
              <w:rPr>
                <w:rFonts w:cs="Arial"/>
                <w:bCs/>
                <w:sz w:val="22"/>
                <w:szCs w:val="22"/>
                <w:lang w:val="en-AU"/>
              </w:rPr>
              <w:t>213</w:t>
            </w:r>
          </w:p>
        </w:tc>
        <w:tc>
          <w:tcPr>
            <w:tcW w:w="79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939A8" w:rsidRPr="00CF5275" w:rsidRDefault="009939A8" w:rsidP="00E47A67">
            <w:pPr>
              <w:adjustRightInd w:val="0"/>
              <w:jc w:val="both"/>
              <w:rPr>
                <w:rFonts w:cs="Arial"/>
                <w:bCs/>
                <w:sz w:val="22"/>
                <w:szCs w:val="22"/>
              </w:rPr>
            </w:pPr>
            <w:r w:rsidRPr="00CF5275">
              <w:rPr>
                <w:rFonts w:cs="Arial"/>
                <w:bCs/>
                <w:sz w:val="22"/>
                <w:szCs w:val="22"/>
                <w:lang w:val="en-AU"/>
              </w:rPr>
              <w:t>Vehicle registration</w:t>
            </w:r>
            <w:bookmarkStart w:id="0" w:name="_GoBack"/>
            <w:bookmarkEnd w:id="0"/>
            <w:r w:rsidRPr="00CF5275">
              <w:rPr>
                <w:rFonts w:cs="Arial"/>
                <w:bCs/>
                <w:sz w:val="22"/>
                <w:szCs w:val="22"/>
                <w:lang w:val="en-AU"/>
              </w:rPr>
              <w:t xml:space="preserve"> transfers relating to certain personal relationships</w:t>
            </w:r>
          </w:p>
        </w:tc>
      </w:tr>
      <w:tr w:rsidR="009939A8" w:rsidTr="009939A8">
        <w:trPr>
          <w:trHeight w:val="151"/>
        </w:trPr>
        <w:tc>
          <w:tcPr>
            <w:tcW w:w="198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939A8" w:rsidRPr="00CF5275" w:rsidRDefault="009939A8" w:rsidP="00E47A67">
            <w:pPr>
              <w:autoSpaceDN w:val="0"/>
              <w:adjustRightInd w:val="0"/>
              <w:jc w:val="both"/>
              <w:rPr>
                <w:rFonts w:cs="Arial"/>
                <w:bCs/>
                <w:sz w:val="22"/>
                <w:szCs w:val="22"/>
                <w:lang w:val="en-AU"/>
              </w:rPr>
            </w:pPr>
            <w:r w:rsidRPr="00CF5275">
              <w:rPr>
                <w:rFonts w:cs="Arial"/>
                <w:bCs/>
                <w:sz w:val="22"/>
                <w:szCs w:val="22"/>
                <w:lang w:val="en-AU"/>
              </w:rPr>
              <w:t>214</w:t>
            </w:r>
          </w:p>
        </w:tc>
        <w:tc>
          <w:tcPr>
            <w:tcW w:w="79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939A8" w:rsidRPr="00CF5275" w:rsidRDefault="009939A8" w:rsidP="00E47A67">
            <w:pPr>
              <w:autoSpaceDN w:val="0"/>
              <w:adjustRightInd w:val="0"/>
              <w:jc w:val="both"/>
              <w:rPr>
                <w:rFonts w:cs="Arial"/>
                <w:bCs/>
                <w:sz w:val="22"/>
                <w:szCs w:val="22"/>
                <w:lang w:val="en-AU"/>
              </w:rPr>
            </w:pPr>
            <w:r w:rsidRPr="00CF5275">
              <w:rPr>
                <w:rFonts w:cs="Arial"/>
                <w:bCs/>
                <w:sz w:val="22"/>
                <w:szCs w:val="22"/>
                <w:lang w:val="en-AU"/>
              </w:rPr>
              <w:t>Vehicle dealers—registration of demonstrators and trading stock</w:t>
            </w:r>
          </w:p>
        </w:tc>
      </w:tr>
      <w:tr w:rsidR="009939A8" w:rsidTr="009939A8">
        <w:trPr>
          <w:trHeight w:val="151"/>
        </w:trPr>
        <w:tc>
          <w:tcPr>
            <w:tcW w:w="198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939A8" w:rsidRPr="00CF5275" w:rsidRDefault="009939A8" w:rsidP="00E47A67">
            <w:pPr>
              <w:autoSpaceDN w:val="0"/>
              <w:adjustRightInd w:val="0"/>
              <w:jc w:val="both"/>
              <w:rPr>
                <w:rFonts w:cs="Arial"/>
                <w:bCs/>
                <w:sz w:val="22"/>
                <w:szCs w:val="22"/>
                <w:lang w:val="en-AU"/>
              </w:rPr>
            </w:pPr>
            <w:r w:rsidRPr="00CF5275">
              <w:rPr>
                <w:rFonts w:cs="Arial"/>
                <w:bCs/>
                <w:sz w:val="22"/>
                <w:szCs w:val="22"/>
                <w:lang w:val="en-AU"/>
              </w:rPr>
              <w:t>215</w:t>
            </w:r>
          </w:p>
        </w:tc>
        <w:tc>
          <w:tcPr>
            <w:tcW w:w="79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939A8" w:rsidRPr="00CF5275" w:rsidRDefault="009939A8" w:rsidP="00E47A67">
            <w:pPr>
              <w:autoSpaceDN w:val="0"/>
              <w:adjustRightInd w:val="0"/>
              <w:jc w:val="both"/>
              <w:rPr>
                <w:rFonts w:cs="Arial"/>
                <w:bCs/>
                <w:sz w:val="22"/>
                <w:szCs w:val="22"/>
                <w:lang w:val="en-AU"/>
              </w:rPr>
            </w:pPr>
            <w:r w:rsidRPr="00CF5275">
              <w:rPr>
                <w:rFonts w:cs="Arial"/>
                <w:bCs/>
                <w:sz w:val="22"/>
                <w:szCs w:val="22"/>
                <w:lang w:val="en-AU"/>
              </w:rPr>
              <w:t xml:space="preserve">Organisations registered under the </w:t>
            </w:r>
            <w:r w:rsidRPr="00CF5275">
              <w:rPr>
                <w:rFonts w:cs="Arial"/>
                <w:bCs/>
                <w:i/>
                <w:sz w:val="22"/>
                <w:szCs w:val="22"/>
                <w:lang w:val="en-AU"/>
              </w:rPr>
              <w:t xml:space="preserve">Fair Work (Registered Organisations) Act 2009 </w:t>
            </w:r>
            <w:r w:rsidRPr="00CF5275">
              <w:rPr>
                <w:rFonts w:cs="Arial"/>
                <w:bCs/>
                <w:sz w:val="22"/>
                <w:szCs w:val="22"/>
                <w:lang w:val="en-AU"/>
              </w:rPr>
              <w:t>(</w:t>
            </w:r>
            <w:proofErr w:type="spellStart"/>
            <w:r w:rsidRPr="00CF5275">
              <w:rPr>
                <w:rFonts w:cs="Arial"/>
                <w:bCs/>
                <w:sz w:val="22"/>
                <w:szCs w:val="22"/>
                <w:lang w:val="en-AU"/>
              </w:rPr>
              <w:t>Cwlth</w:t>
            </w:r>
            <w:proofErr w:type="spellEnd"/>
            <w:r w:rsidRPr="00CF5275">
              <w:rPr>
                <w:rFonts w:cs="Arial"/>
                <w:bCs/>
                <w:sz w:val="22"/>
                <w:szCs w:val="22"/>
                <w:lang w:val="en-AU"/>
              </w:rPr>
              <w:t>)</w:t>
            </w:r>
          </w:p>
        </w:tc>
      </w:tr>
      <w:tr w:rsidR="009939A8" w:rsidTr="009939A8">
        <w:trPr>
          <w:trHeight w:val="151"/>
        </w:trPr>
        <w:tc>
          <w:tcPr>
            <w:tcW w:w="198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939A8" w:rsidRPr="00CF5275" w:rsidRDefault="009939A8" w:rsidP="00E47A67">
            <w:pPr>
              <w:autoSpaceDN w:val="0"/>
              <w:adjustRightInd w:val="0"/>
              <w:jc w:val="both"/>
              <w:rPr>
                <w:rFonts w:cs="Arial"/>
                <w:bCs/>
                <w:sz w:val="22"/>
                <w:szCs w:val="22"/>
                <w:lang w:val="en-AU"/>
              </w:rPr>
            </w:pPr>
            <w:r w:rsidRPr="00CF5275">
              <w:rPr>
                <w:rFonts w:cs="Arial"/>
                <w:bCs/>
                <w:sz w:val="22"/>
                <w:szCs w:val="22"/>
                <w:lang w:val="en-AU"/>
              </w:rPr>
              <w:t>216</w:t>
            </w:r>
          </w:p>
        </w:tc>
        <w:tc>
          <w:tcPr>
            <w:tcW w:w="79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939A8" w:rsidRPr="00CF5275" w:rsidRDefault="009939A8" w:rsidP="00E47A67">
            <w:pPr>
              <w:autoSpaceDN w:val="0"/>
              <w:adjustRightInd w:val="0"/>
              <w:jc w:val="both"/>
              <w:rPr>
                <w:rFonts w:cs="Arial"/>
                <w:bCs/>
                <w:sz w:val="22"/>
                <w:szCs w:val="22"/>
                <w:lang w:val="en-AU"/>
              </w:rPr>
            </w:pPr>
            <w:r w:rsidRPr="00CF5275">
              <w:rPr>
                <w:rFonts w:cs="Arial"/>
                <w:bCs/>
                <w:sz w:val="22"/>
                <w:szCs w:val="22"/>
                <w:lang w:val="en-AU"/>
              </w:rPr>
              <w:t>Repossessed motor vehicles</w:t>
            </w:r>
          </w:p>
        </w:tc>
      </w:tr>
      <w:tr w:rsidR="009939A8" w:rsidTr="009939A8">
        <w:trPr>
          <w:trHeight w:val="151"/>
        </w:trPr>
        <w:tc>
          <w:tcPr>
            <w:tcW w:w="198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939A8" w:rsidRPr="00CF5275" w:rsidRDefault="009939A8" w:rsidP="00E47A67">
            <w:pPr>
              <w:autoSpaceDN w:val="0"/>
              <w:adjustRightInd w:val="0"/>
              <w:jc w:val="both"/>
              <w:rPr>
                <w:rFonts w:cs="Arial"/>
                <w:bCs/>
                <w:sz w:val="22"/>
                <w:szCs w:val="22"/>
                <w:lang w:val="en-AU"/>
              </w:rPr>
            </w:pPr>
            <w:r w:rsidRPr="00CF5275">
              <w:rPr>
                <w:rFonts w:cs="Arial"/>
                <w:bCs/>
                <w:sz w:val="22"/>
                <w:szCs w:val="22"/>
                <w:lang w:val="en-AU"/>
              </w:rPr>
              <w:t>217</w:t>
            </w:r>
          </w:p>
        </w:tc>
        <w:tc>
          <w:tcPr>
            <w:tcW w:w="79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939A8" w:rsidRPr="00CF5275" w:rsidRDefault="009939A8" w:rsidP="00E47A67">
            <w:pPr>
              <w:autoSpaceDN w:val="0"/>
              <w:adjustRightInd w:val="0"/>
              <w:jc w:val="both"/>
              <w:rPr>
                <w:rFonts w:cs="Arial"/>
                <w:bCs/>
                <w:sz w:val="22"/>
                <w:szCs w:val="22"/>
                <w:lang w:val="en-AU"/>
              </w:rPr>
            </w:pPr>
            <w:r w:rsidRPr="00CF5275">
              <w:rPr>
                <w:rFonts w:cs="Arial"/>
                <w:bCs/>
                <w:sz w:val="22"/>
                <w:szCs w:val="22"/>
                <w:lang w:val="en-AU"/>
              </w:rPr>
              <w:t>Veteran, vintage and historic vehicles</w:t>
            </w:r>
          </w:p>
        </w:tc>
      </w:tr>
    </w:tbl>
    <w:p w:rsidR="009939A8" w:rsidRDefault="009939A8" w:rsidP="00A970B8">
      <w:pPr>
        <w:shd w:val="clear" w:color="auto" w:fill="FFFFFF"/>
        <w:spacing w:after="60"/>
        <w:ind w:left="851"/>
        <w:jc w:val="both"/>
        <w:rPr>
          <w:rFonts w:asciiTheme="minorHAnsi" w:hAnsiTheme="minorHAnsi" w:cs="Arial"/>
        </w:rPr>
      </w:pPr>
    </w:p>
    <w:p w:rsidR="009939A8" w:rsidRDefault="009939A8" w:rsidP="009939A8">
      <w:pPr>
        <w:pStyle w:val="ListParagraph"/>
        <w:widowControl/>
        <w:numPr>
          <w:ilvl w:val="0"/>
          <w:numId w:val="1"/>
        </w:numPr>
        <w:suppressAutoHyphens w:val="0"/>
        <w:autoSpaceDE/>
        <w:autoSpaceDN/>
        <w:spacing w:before="120" w:after="60"/>
        <w:ind w:left="1276" w:hanging="425"/>
        <w:contextualSpacing/>
        <w:jc w:val="both"/>
        <w:textAlignment w:val="auto"/>
      </w:pPr>
      <w:r>
        <w:t xml:space="preserve">Applications under any of the above exemption categories do </w:t>
      </w:r>
      <w:r>
        <w:rPr>
          <w:b/>
        </w:rPr>
        <w:t>not</w:t>
      </w:r>
      <w:r>
        <w:t xml:space="preserve"> require an approval letter from the ACT Revenue Office.</w:t>
      </w:r>
    </w:p>
    <w:p w:rsidR="009939A8" w:rsidRDefault="009939A8" w:rsidP="009939A8">
      <w:pPr>
        <w:pStyle w:val="Heading2"/>
        <w:spacing w:before="60"/>
        <w:ind w:firstLine="55"/>
      </w:pPr>
      <w:r>
        <w:t>Exemptions processed by the ACT Revenue Office</w:t>
      </w:r>
    </w:p>
    <w:p w:rsidR="009939A8" w:rsidRDefault="009939A8" w:rsidP="009939A8">
      <w:pPr>
        <w:pStyle w:val="ListParagraph"/>
        <w:widowControl/>
        <w:numPr>
          <w:ilvl w:val="0"/>
          <w:numId w:val="1"/>
        </w:numPr>
        <w:suppressAutoHyphens w:val="0"/>
        <w:autoSpaceDE/>
        <w:autoSpaceDN/>
        <w:spacing w:after="60"/>
        <w:ind w:left="1276" w:hanging="425"/>
        <w:jc w:val="both"/>
        <w:textAlignment w:val="auto"/>
      </w:pPr>
      <w:r>
        <w:t>The ACT Revenue Office processes all applications for duty exemption under the following exemption categories:</w:t>
      </w:r>
    </w:p>
    <w:tbl>
      <w:tblPr>
        <w:tblStyle w:val="TableGrid"/>
        <w:tblW w:w="9922" w:type="dxa"/>
        <w:tblInd w:w="959" w:type="dxa"/>
        <w:tblLook w:val="01E0"/>
      </w:tblPr>
      <w:tblGrid>
        <w:gridCol w:w="1984"/>
        <w:gridCol w:w="7938"/>
      </w:tblGrid>
      <w:tr w:rsidR="009939A8" w:rsidRPr="009939A8" w:rsidTr="009939A8">
        <w:trPr>
          <w:trHeight w:val="293"/>
        </w:trPr>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rsidR="009939A8" w:rsidRPr="009939A8" w:rsidRDefault="009939A8">
            <w:pPr>
              <w:autoSpaceDN w:val="0"/>
              <w:adjustRightInd w:val="0"/>
              <w:jc w:val="both"/>
              <w:rPr>
                <w:rFonts w:cs="Arial"/>
                <w:b/>
                <w:bCs/>
                <w:sz w:val="22"/>
                <w:szCs w:val="22"/>
                <w:lang w:val="en-AU"/>
              </w:rPr>
            </w:pPr>
            <w:r w:rsidRPr="009939A8">
              <w:rPr>
                <w:rFonts w:cs="Arial"/>
                <w:b/>
                <w:bCs/>
                <w:sz w:val="22"/>
                <w:szCs w:val="22"/>
                <w:lang w:val="en-AU"/>
              </w:rPr>
              <w:t>Section of the Act</w:t>
            </w:r>
          </w:p>
        </w:tc>
        <w:tc>
          <w:tcPr>
            <w:tcW w:w="7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rsidR="009939A8" w:rsidRPr="009939A8" w:rsidRDefault="009939A8">
            <w:pPr>
              <w:autoSpaceDN w:val="0"/>
              <w:adjustRightInd w:val="0"/>
              <w:jc w:val="both"/>
              <w:rPr>
                <w:rFonts w:cs="Arial"/>
                <w:b/>
                <w:bCs/>
                <w:sz w:val="22"/>
                <w:szCs w:val="22"/>
                <w:lang w:val="en-AU"/>
              </w:rPr>
            </w:pPr>
            <w:r w:rsidRPr="009939A8">
              <w:rPr>
                <w:rFonts w:cs="Arial"/>
                <w:b/>
                <w:bCs/>
                <w:sz w:val="22"/>
                <w:szCs w:val="22"/>
                <w:lang w:val="en-AU"/>
              </w:rPr>
              <w:t>Exemption</w:t>
            </w:r>
          </w:p>
        </w:tc>
      </w:tr>
      <w:tr w:rsidR="009939A8" w:rsidRPr="009939A8" w:rsidTr="009939A8">
        <w:trPr>
          <w:trHeight w:val="151"/>
        </w:trPr>
        <w:tc>
          <w:tcPr>
            <w:tcW w:w="198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939A8" w:rsidRPr="009939A8" w:rsidRDefault="009939A8">
            <w:pPr>
              <w:autoSpaceDN w:val="0"/>
              <w:adjustRightInd w:val="0"/>
              <w:jc w:val="both"/>
              <w:rPr>
                <w:rFonts w:cs="Arial"/>
                <w:bCs/>
                <w:sz w:val="22"/>
                <w:szCs w:val="22"/>
                <w:lang w:val="en-AU"/>
              </w:rPr>
            </w:pPr>
            <w:r w:rsidRPr="009939A8">
              <w:rPr>
                <w:rFonts w:cs="Arial"/>
                <w:bCs/>
                <w:sz w:val="22"/>
                <w:szCs w:val="22"/>
                <w:lang w:val="en-AU"/>
              </w:rPr>
              <w:t>214A</w:t>
            </w:r>
          </w:p>
        </w:tc>
        <w:tc>
          <w:tcPr>
            <w:tcW w:w="79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939A8" w:rsidRPr="009939A8" w:rsidRDefault="009939A8">
            <w:pPr>
              <w:autoSpaceDN w:val="0"/>
              <w:adjustRightInd w:val="0"/>
              <w:jc w:val="both"/>
              <w:rPr>
                <w:rFonts w:cs="Arial"/>
                <w:bCs/>
                <w:sz w:val="22"/>
                <w:szCs w:val="22"/>
                <w:lang w:val="en-AU"/>
              </w:rPr>
            </w:pPr>
            <w:r w:rsidRPr="009939A8">
              <w:rPr>
                <w:rFonts w:cs="Arial"/>
                <w:bCs/>
                <w:sz w:val="22"/>
                <w:szCs w:val="22"/>
                <w:lang w:val="en-AU"/>
              </w:rPr>
              <w:t>Renewal of registration of demonstrators and trading stock</w:t>
            </w:r>
          </w:p>
        </w:tc>
      </w:tr>
      <w:tr w:rsidR="009939A8" w:rsidRPr="009939A8" w:rsidTr="009939A8">
        <w:trPr>
          <w:trHeight w:val="151"/>
        </w:trPr>
        <w:tc>
          <w:tcPr>
            <w:tcW w:w="198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939A8" w:rsidRPr="009939A8" w:rsidRDefault="009939A8">
            <w:pPr>
              <w:autoSpaceDN w:val="0"/>
              <w:adjustRightInd w:val="0"/>
              <w:jc w:val="both"/>
              <w:rPr>
                <w:rFonts w:cs="Arial"/>
                <w:bCs/>
                <w:sz w:val="22"/>
                <w:szCs w:val="22"/>
                <w:lang w:val="en-AU"/>
              </w:rPr>
            </w:pPr>
            <w:r w:rsidRPr="009939A8">
              <w:rPr>
                <w:rFonts w:cs="Arial"/>
                <w:bCs/>
                <w:sz w:val="22"/>
                <w:szCs w:val="22"/>
                <w:lang w:val="en-AU"/>
              </w:rPr>
              <w:t>219</w:t>
            </w:r>
          </w:p>
        </w:tc>
        <w:tc>
          <w:tcPr>
            <w:tcW w:w="79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939A8" w:rsidRPr="009939A8" w:rsidRDefault="009939A8">
            <w:pPr>
              <w:autoSpaceDN w:val="0"/>
              <w:adjustRightInd w:val="0"/>
              <w:jc w:val="both"/>
              <w:rPr>
                <w:rFonts w:cs="Arial"/>
                <w:bCs/>
                <w:sz w:val="22"/>
                <w:szCs w:val="22"/>
                <w:lang w:val="en-AU"/>
              </w:rPr>
            </w:pPr>
            <w:r w:rsidRPr="009939A8">
              <w:rPr>
                <w:rFonts w:cs="Arial"/>
                <w:bCs/>
                <w:sz w:val="22"/>
                <w:szCs w:val="22"/>
                <w:lang w:val="en-AU"/>
              </w:rPr>
              <w:t>Reassessment of duty—repossession of stolen motor vehicle</w:t>
            </w:r>
          </w:p>
        </w:tc>
      </w:tr>
      <w:tr w:rsidR="009939A8" w:rsidRPr="009939A8" w:rsidTr="009939A8">
        <w:trPr>
          <w:trHeight w:val="151"/>
        </w:trPr>
        <w:tc>
          <w:tcPr>
            <w:tcW w:w="198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939A8" w:rsidRPr="009939A8" w:rsidRDefault="009939A8">
            <w:pPr>
              <w:autoSpaceDN w:val="0"/>
              <w:adjustRightInd w:val="0"/>
              <w:jc w:val="both"/>
              <w:rPr>
                <w:rFonts w:cs="Arial"/>
                <w:bCs/>
                <w:sz w:val="22"/>
                <w:szCs w:val="22"/>
                <w:lang w:val="en-AU"/>
              </w:rPr>
            </w:pPr>
            <w:r w:rsidRPr="009939A8">
              <w:rPr>
                <w:rFonts w:cs="Arial"/>
                <w:bCs/>
                <w:sz w:val="22"/>
                <w:szCs w:val="22"/>
                <w:lang w:val="en-AU"/>
              </w:rPr>
              <w:t>232</w:t>
            </w:r>
          </w:p>
        </w:tc>
        <w:tc>
          <w:tcPr>
            <w:tcW w:w="79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939A8" w:rsidRPr="009939A8" w:rsidRDefault="009939A8">
            <w:pPr>
              <w:autoSpaceDN w:val="0"/>
              <w:adjustRightInd w:val="0"/>
              <w:jc w:val="both"/>
              <w:rPr>
                <w:rFonts w:cs="Arial"/>
                <w:bCs/>
                <w:sz w:val="22"/>
                <w:szCs w:val="22"/>
                <w:lang w:val="en-AU"/>
              </w:rPr>
            </w:pPr>
            <w:r w:rsidRPr="009939A8">
              <w:rPr>
                <w:rFonts w:cs="Arial"/>
                <w:bCs/>
                <w:sz w:val="22"/>
                <w:szCs w:val="22"/>
                <w:lang w:val="en-AU"/>
              </w:rPr>
              <w:t>Charitable organisations</w:t>
            </w:r>
          </w:p>
        </w:tc>
      </w:tr>
    </w:tbl>
    <w:p w:rsidR="009939A8" w:rsidRDefault="009939A8" w:rsidP="009939A8">
      <w:pPr>
        <w:pStyle w:val="ListParagraph"/>
        <w:widowControl/>
        <w:numPr>
          <w:ilvl w:val="0"/>
          <w:numId w:val="1"/>
        </w:numPr>
        <w:suppressAutoHyphens w:val="0"/>
        <w:autoSpaceDE/>
        <w:autoSpaceDN/>
        <w:spacing w:before="120"/>
        <w:ind w:left="1276" w:hanging="425"/>
        <w:contextualSpacing/>
        <w:jc w:val="both"/>
        <w:textAlignment w:val="auto"/>
        <w:rPr>
          <w:rFonts w:asciiTheme="minorHAnsi" w:hAnsiTheme="minorHAnsi"/>
          <w:lang w:eastAsia="en-US"/>
        </w:rPr>
      </w:pPr>
      <w:r>
        <w:t>Applications for duty exemption under the above exemption categories must be lodged in writing with the Commissioner. Approved applicants will be provided with a letter to present to Access Canberra as evidence of approval of their application for duty exemption when registering a motor vehicle in the applicant’s name.</w:t>
      </w:r>
    </w:p>
    <w:p w:rsidR="009939A8" w:rsidRDefault="009939A8" w:rsidP="009939A8">
      <w:pPr>
        <w:pStyle w:val="ListParagraph"/>
        <w:widowControl/>
        <w:numPr>
          <w:ilvl w:val="0"/>
          <w:numId w:val="1"/>
        </w:numPr>
        <w:suppressAutoHyphens w:val="0"/>
        <w:autoSpaceDE/>
        <w:autoSpaceDN/>
        <w:spacing w:before="60"/>
        <w:ind w:left="1276" w:hanging="425"/>
        <w:contextualSpacing/>
        <w:jc w:val="both"/>
        <w:textAlignment w:val="auto"/>
      </w:pPr>
      <w:r>
        <w:t>Applicants whose applications for duty exemption under the above exemption categories are not approved will be so advised by the ACT Revenue Office.</w:t>
      </w:r>
    </w:p>
    <w:p w:rsidR="009939A8" w:rsidRDefault="009939A8" w:rsidP="009939A8">
      <w:pPr>
        <w:adjustRightInd w:val="0"/>
        <w:ind w:left="851"/>
        <w:rPr>
          <w:szCs w:val="23"/>
        </w:rPr>
      </w:pPr>
    </w:p>
    <w:p w:rsidR="009939A8" w:rsidRDefault="009939A8" w:rsidP="009939A8">
      <w:pPr>
        <w:adjustRightInd w:val="0"/>
        <w:ind w:left="851"/>
        <w:rPr>
          <w:szCs w:val="23"/>
        </w:rPr>
      </w:pPr>
      <w:r>
        <w:rPr>
          <w:szCs w:val="23"/>
        </w:rPr>
        <w:t>SIGNED</w:t>
      </w:r>
    </w:p>
    <w:p w:rsidR="009939A8" w:rsidRDefault="009939A8" w:rsidP="009939A8">
      <w:pPr>
        <w:adjustRightInd w:val="0"/>
        <w:ind w:left="851"/>
        <w:rPr>
          <w:rFonts w:cs="Arial"/>
          <w:bCs/>
        </w:rPr>
      </w:pPr>
    </w:p>
    <w:p w:rsidR="009939A8" w:rsidRDefault="009939A8" w:rsidP="009939A8">
      <w:pPr>
        <w:adjustRightInd w:val="0"/>
        <w:ind w:left="851"/>
        <w:rPr>
          <w:rFonts w:cs="Arial"/>
          <w:bCs/>
        </w:rPr>
      </w:pPr>
      <w:r>
        <w:rPr>
          <w:rFonts w:cs="Arial"/>
          <w:bCs/>
        </w:rPr>
        <w:t>Kim Salisbury</w:t>
      </w:r>
    </w:p>
    <w:p w:rsidR="009939A8" w:rsidRDefault="009939A8" w:rsidP="009939A8">
      <w:pPr>
        <w:adjustRightInd w:val="0"/>
        <w:ind w:left="851"/>
        <w:rPr>
          <w:rFonts w:cs="Arial"/>
        </w:rPr>
      </w:pPr>
      <w:r>
        <w:rPr>
          <w:rFonts w:cs="Arial"/>
        </w:rPr>
        <w:t>Commissioner for ACT Revenue</w:t>
      </w:r>
    </w:p>
    <w:p w:rsidR="009939A8" w:rsidRDefault="009939A8" w:rsidP="009939A8">
      <w:pPr>
        <w:adjustRightInd w:val="0"/>
        <w:ind w:left="851"/>
        <w:rPr>
          <w:rFonts w:cs="Arial"/>
          <w:bCs/>
        </w:rPr>
      </w:pPr>
      <w:r>
        <w:rPr>
          <w:rFonts w:cs="Arial"/>
          <w:bCs/>
        </w:rPr>
        <w:t>25 November 2015</w:t>
      </w:r>
    </w:p>
    <w:p w:rsidR="009939A8" w:rsidRDefault="009939A8" w:rsidP="009939A8">
      <w:pPr>
        <w:ind w:left="851"/>
        <w:rPr>
          <w:rFonts w:cs="Times New Roman"/>
        </w:rPr>
      </w:pPr>
    </w:p>
    <w:p w:rsidR="00A970B8" w:rsidRDefault="00A970B8" w:rsidP="009939A8">
      <w:pPr>
        <w:shd w:val="clear" w:color="auto" w:fill="FFFFFF"/>
        <w:spacing w:after="60"/>
        <w:ind w:left="851"/>
        <w:jc w:val="both"/>
        <w:rPr>
          <w:rFonts w:asciiTheme="minorHAnsi" w:hAnsiTheme="minorHAnsi" w:cs="Arial"/>
        </w:rPr>
      </w:pPr>
    </w:p>
    <w:sectPr w:rsidR="00A970B8" w:rsidSect="00E81FA3">
      <w:pgSz w:w="11910" w:h="16840" w:code="9"/>
      <w:pgMar w:top="709" w:right="992" w:bottom="1100"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26011BA2"/>
    <w:multiLevelType w:val="hybridMultilevel"/>
    <w:tmpl w:val="41826A92"/>
    <w:lvl w:ilvl="0" w:tplc="E82EBB98">
      <w:start w:val="1"/>
      <w:numFmt w:val="decimal"/>
      <w:lvlText w:val="%1."/>
      <w:lvlJc w:val="left"/>
      <w:pPr>
        <w:tabs>
          <w:tab w:val="num" w:pos="720"/>
        </w:tabs>
        <w:ind w:left="720" w:hanging="720"/>
      </w:pPr>
      <w:rPr>
        <w:rFonts w:cs="Times New Roman"/>
        <w:color w:val="auto"/>
      </w:rPr>
    </w:lvl>
    <w:lvl w:ilvl="1" w:tplc="E1565F5E">
      <w:start w:val="1"/>
      <w:numFmt w:val="lowerLetter"/>
      <w:lvlText w:val="(%2)"/>
      <w:lvlJc w:val="left"/>
      <w:pPr>
        <w:tabs>
          <w:tab w:val="num" w:pos="1440"/>
        </w:tabs>
        <w:ind w:left="1440" w:hanging="720"/>
      </w:pPr>
      <w:rPr>
        <w:rFonts w:cs="Times New Roman"/>
        <w:color w:val="auto"/>
      </w:rPr>
    </w:lvl>
    <w:lvl w:ilvl="2" w:tplc="58E4B69E">
      <w:start w:val="1"/>
      <w:numFmt w:val="lowerRoman"/>
      <w:lvlText w:val="%3."/>
      <w:lvlJc w:val="right"/>
      <w:pPr>
        <w:tabs>
          <w:tab w:val="num" w:pos="1773"/>
        </w:tabs>
        <w:ind w:left="1773" w:hanging="153"/>
      </w:pPr>
      <w:rPr>
        <w:rFonts w:cs="Times New Roman"/>
        <w:color w:val="auto"/>
      </w:rPr>
    </w:lvl>
    <w:lvl w:ilvl="3" w:tplc="F8DA705A">
      <w:start w:val="1"/>
      <w:numFmt w:val="lowerLetter"/>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53845B3"/>
    <w:multiLevelType w:val="hybridMultilevel"/>
    <w:tmpl w:val="F4B692FC"/>
    <w:lvl w:ilvl="0" w:tplc="85B0232A">
      <w:start w:val="1"/>
      <w:numFmt w:val="decimal"/>
      <w:lvlText w:val="%1."/>
      <w:lvlJc w:val="left"/>
      <w:pPr>
        <w:ind w:left="107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5B0828"/>
    <w:rsid w:val="000A00F3"/>
    <w:rsid w:val="000D649E"/>
    <w:rsid w:val="000D64C3"/>
    <w:rsid w:val="000F2603"/>
    <w:rsid w:val="0011361A"/>
    <w:rsid w:val="00193116"/>
    <w:rsid w:val="0020337F"/>
    <w:rsid w:val="00210C1D"/>
    <w:rsid w:val="002240B1"/>
    <w:rsid w:val="00244887"/>
    <w:rsid w:val="00275FAE"/>
    <w:rsid w:val="00310E54"/>
    <w:rsid w:val="00391CB7"/>
    <w:rsid w:val="005B0828"/>
    <w:rsid w:val="006B0ECA"/>
    <w:rsid w:val="006B2035"/>
    <w:rsid w:val="00712A2B"/>
    <w:rsid w:val="00822F9C"/>
    <w:rsid w:val="008B1CDE"/>
    <w:rsid w:val="0096709E"/>
    <w:rsid w:val="009939A8"/>
    <w:rsid w:val="009F0FE9"/>
    <w:rsid w:val="00A812EA"/>
    <w:rsid w:val="00A970B8"/>
    <w:rsid w:val="00AD4741"/>
    <w:rsid w:val="00AF7801"/>
    <w:rsid w:val="00BB7D19"/>
    <w:rsid w:val="00BE0B6D"/>
    <w:rsid w:val="00BF64D2"/>
    <w:rsid w:val="00C24521"/>
    <w:rsid w:val="00C37815"/>
    <w:rsid w:val="00C82405"/>
    <w:rsid w:val="00C8554F"/>
    <w:rsid w:val="00CD0ACD"/>
    <w:rsid w:val="00CD6913"/>
    <w:rsid w:val="00CF5275"/>
    <w:rsid w:val="00D908F9"/>
    <w:rsid w:val="00DA0B26"/>
    <w:rsid w:val="00DA6ED5"/>
    <w:rsid w:val="00E81FA3"/>
    <w:rsid w:val="00EB4F51"/>
    <w:rsid w:val="00EB74B1"/>
    <w:rsid w:val="00F10DB5"/>
    <w:rsid w:val="00F44A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38060944">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064454299">
      <w:bodyDiv w:val="1"/>
      <w:marLeft w:val="0"/>
      <w:marRight w:val="0"/>
      <w:marTop w:val="0"/>
      <w:marBottom w:val="0"/>
      <w:divBdr>
        <w:top w:val="none" w:sz="0" w:space="0" w:color="auto"/>
        <w:left w:val="none" w:sz="0" w:space="0" w:color="auto"/>
        <w:bottom w:val="none" w:sz="0" w:space="0" w:color="auto"/>
        <w:right w:val="none" w:sz="0" w:space="0" w:color="auto"/>
      </w:divBdr>
    </w:div>
    <w:div w:id="1315333827">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77743">
      <w:bodyDiv w:val="1"/>
      <w:marLeft w:val="0"/>
      <w:marRight w:val="0"/>
      <w:marTop w:val="0"/>
      <w:marBottom w:val="0"/>
      <w:divBdr>
        <w:top w:val="none" w:sz="0" w:space="0" w:color="auto"/>
        <w:left w:val="none" w:sz="0" w:space="0" w:color="auto"/>
        <w:bottom w:val="none" w:sz="0" w:space="0" w:color="auto"/>
        <w:right w:val="none" w:sz="0" w:space="0" w:color="auto"/>
      </w:divBdr>
    </w:div>
    <w:div w:id="1839923502">
      <w:bodyDiv w:val="1"/>
      <w:marLeft w:val="0"/>
      <w:marRight w:val="0"/>
      <w:marTop w:val="0"/>
      <w:marBottom w:val="0"/>
      <w:divBdr>
        <w:top w:val="none" w:sz="0" w:space="0" w:color="auto"/>
        <w:left w:val="none" w:sz="0" w:space="0" w:color="auto"/>
        <w:bottom w:val="none" w:sz="0" w:space="0" w:color="auto"/>
        <w:right w:val="none" w:sz="0" w:space="0" w:color="auto"/>
      </w:divBdr>
    </w:div>
    <w:div w:id="2092655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FECD1-F744-4360-B49A-03FB6277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Tereza Zilic</cp:lastModifiedBy>
  <cp:revision>6</cp:revision>
  <cp:lastPrinted>2017-05-08T23:51:00Z</cp:lastPrinted>
  <dcterms:created xsi:type="dcterms:W3CDTF">2017-05-27T12:32:00Z</dcterms:created>
  <dcterms:modified xsi:type="dcterms:W3CDTF">2017-06-09T02:08:00Z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