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12" w:rsidRDefault="00A73C12">
      <w:pPr>
        <w:pStyle w:val="BodyText"/>
        <w:kinsoku w:val="0"/>
        <w:overflowPunct w:val="0"/>
        <w:spacing w:before="9"/>
        <w:ind w:left="0"/>
        <w:rPr>
          <w:rFonts w:ascii="Times New Roman" w:hAnsi="Times New Roman" w:cs="Times New Roman"/>
          <w:sz w:val="23"/>
          <w:szCs w:val="23"/>
        </w:rPr>
      </w:pPr>
      <w:bookmarkStart w:id="0" w:name="_GoBack"/>
      <w:bookmarkEnd w:id="0"/>
    </w:p>
    <w:p w:rsidR="00A73C12" w:rsidRDefault="00480BE5">
      <w:pPr>
        <w:pStyle w:val="BodyText"/>
        <w:kinsoku w:val="0"/>
        <w:overflowPunct w:val="0"/>
        <w:spacing w:before="40"/>
        <w:ind w:left="2586"/>
        <w:rPr>
          <w:b/>
          <w:bCs/>
          <w:sz w:val="30"/>
          <w:szCs w:val="30"/>
        </w:rPr>
      </w:pPr>
      <w:r w:rsidRPr="00480BE5">
        <w:rPr>
          <w:noProof/>
        </w:rPr>
        <w:pict>
          <v:shape id="_x0000_s1026" style="position:absolute;left:0;text-align:left;margin-left:160.3pt;margin-top:-12.5pt;width:0;height:48pt;z-index:251656704;mso-position-horizontal-relative:page;mso-position-vertical-relative:text" coordsize="20,959" o:allowincell="f" path="m,l,959e" filled="f" strokecolor="#333" strokeweight=".50797mm">
            <v:path arrowok="t"/>
            <w10:wrap anchorx="page"/>
          </v:shape>
        </w:pict>
      </w:r>
      <w:r w:rsidRPr="00480BE5">
        <w:rPr>
          <w:noProof/>
        </w:rPr>
        <w:pict>
          <v:group id="_x0000_s1027" style="position:absolute;left:0;text-align:left;margin-left:48.15pt;margin-top:-12.15pt;width:51.55pt;height:46.7pt;z-index:251657728;mso-position-horizontal-relative:page" coordorigin="963,-243" coordsize="1031,934"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128;top:-107;width:620;height:560;mso-position-horizontal-relative:page" o:allowincell="f">
              <v:imagedata r:id="rId8" o:title=""/>
            </v:shape>
            <v:shape id="_x0000_s1029" style="position:absolute;left:1189;top:454;width:581;height:20;mso-position-horizontal-relative:page;mso-position-vertical-relative:text" coordsize="581,20" o:allowincell="f" path="m,l580,e" filled="f" strokeweight=".1006mm">
              <v:path arrowok="t"/>
            </v:shape>
            <v:shape id="_x0000_s1030" style="position:absolute;left:1189;top:433;width:20;height:20;mso-position-horizontal-relative:page;mso-position-vertical-relative:text" coordsize="20,20" o:allowincell="f" path="m,l6,e" filled="f" strokeweight=".63742mm">
              <v:path arrowok="t"/>
            </v:shape>
            <v:shape id="_x0000_s1031" style="position:absolute;left:1189;top:412;width:581;height:20;mso-position-horizontal-relative:page;mso-position-vertical-relative:text" coordsize="581,20" o:allowincell="f" path="m,l580,e" filled="f" strokeweight=".1006mm">
              <v:path arrowok="t"/>
            </v:shape>
            <v:shape id="_x0000_s1032" style="position:absolute;left:1764;top:434;width:20;height:20;mso-position-horizontal-relative:page;mso-position-vertical-relative:text" coordsize="20,20" o:allowincell="f" path="m,l5,e" filled="f" strokeweight=".65422mm">
              <v:path arrowok="t"/>
            </v:shape>
            <v:shape id="_x0000_s1033" type="#_x0000_t75" style="position:absolute;left:1585;top:25;width:260;height:340;mso-position-horizontal-relative:page" o:allowincell="f">
              <v:imagedata r:id="rId9" o:title=""/>
            </v:shape>
            <v:shape id="_x0000_s1034" type="#_x0000_t75" style="position:absolute;left:964;top:-243;width:1040;height:940;mso-position-horizontal-relative:page" o:allowincell="f">
              <v:imagedata r:id="rId10" o:title=""/>
            </v:shape>
            <w10:wrap anchorx="page"/>
          </v:group>
        </w:pict>
      </w:r>
      <w:r w:rsidRPr="00480BE5">
        <w:rPr>
          <w:noProof/>
        </w:rPr>
        <w:pict>
          <v:group id="_x0000_s1035" style="position:absolute;left:0;text-align:left;margin-left:105.9pt;margin-top:-1.15pt;width:43.35pt;height:24.75pt;z-index:251658752;mso-position-horizontal-relative:page" coordorigin="2118,-23" coordsize="867,495" o:allowincell="f">
            <v:group id="_x0000_s1036" style="position:absolute;left:2118;top:-23;width:572;height:343" coordorigin="2118,-23" coordsize="572,343" o:allowincell="f">
              <v:shape id="_x0000_s1037" style="position:absolute;left:2118;top:-23;width:572;height:343;mso-position-horizontal-relative:page;mso-position-vertical-relative:text" coordsize="572,343" o:allowincell="f" path="m314,337l291,252,273,190,236,59,221,5r-40,l181,190r-48,l151,110r,-2l151,106r1,-2l152,102r1,-3l153,97r1,-5l155,88r1,-11l156,73r1,-4l157,64r,-5l157,64r1,5l158,73r,7l159,84r,4l160,92r1,5l161,100r1,2l162,104r1,2l163,108r18,82l181,5,92,5,,337r103,l123,252r68,l211,337r103,e" fillcolor="black" stroked="f">
                <v:path arrowok="t"/>
              </v:shape>
              <v:shape id="_x0000_s1038" style="position:absolute;left:2118;top:-23;width:572;height:343;mso-position-horizontal-relative:page;mso-position-vertical-relative:text" coordsize="572,343" o:allowincell="f" path="m571,329r-7,-52l563,265r-4,2l552,269r-7,3l542,272r-7,2l529,275r-3,1l520,276r-3,1l513,277r-3,l506,277r-5,-1l493,275r-4,-1l485,273r-4,-1l478,271r-4,-2l471,267r-3,-2l465,263r-2,-3l460,258r-2,-3l455,252r-2,-3l451,245r-2,-4l447,237r-1,-4l444,229r-1,-5l442,220r-1,-5l440,209r-1,-5l439,198r-1,-6l438,186r,-13l438,160r,-7l439,147r,-6l440,136r1,-6l442,125r1,-5l444,115r2,-4l447,107r2,-5l451,99r2,-4l455,92r2,-4l460,85r2,-2l465,80r3,-2l471,76r3,-2l477,72r4,-1l484,69r4,-1l492,68r4,-1l500,66r5,l509,66r5,l519,66r5,1l529,68r5,l540,70r6,1l552,73r1,-7l564,12r-5,-1l554,9,549,8,544,7,539,6,529,4,520,2,510,1,505,r-5,l495,,485,r-9,l468,r-9,1l451,2r-8,2l435,6r-7,3l421,11r-7,3l407,18r-6,4l395,26r-6,4l383,35r-5,5l373,45r-5,6l363,57r-4,7l355,70r-3,7l348,84r-3,8l343,100r-3,8l338,116r-1,9l335,134r-1,9l333,153r,9l332,172r1,10l333,192r1,10l335,211r1,9l338,229r2,8l343,245r2,8l348,260r4,7l355,274r4,7l363,287r5,6l372,299r5,5l383,309r5,4l394,318r6,4l407,325r7,4l421,332r7,2l435,337r8,2l451,340r9,1l468,342r9,1l486,343r10,l507,342r5,l517,341r10,-1l533,339r5,-1l549,335r11,-3l571,329e" fillcolor="black" stroked="f">
                <v:path arrowok="t"/>
              </v:shape>
            </v:group>
            <v:shape id="_x0000_s1039" type="#_x0000_t75" style="position:absolute;left:2724;top:-18;width:260;height:340;mso-position-horizontal-relative:page" o:allowincell="f">
              <v:imagedata r:id="rId11" o:title=""/>
            </v:shape>
            <v:shape id="_x0000_s1040" type="#_x0000_t75" style="position:absolute;left:2118;top:348;width:860;height:120;mso-position-horizontal-relative:page" o:allowincell="f">
              <v:imagedata r:id="rId12" o:title=""/>
            </v:shape>
            <w10:wrap anchorx="page"/>
          </v:group>
        </w:pict>
      </w:r>
      <w:r w:rsidR="00A73C12">
        <w:rPr>
          <w:b/>
          <w:bCs/>
          <w:sz w:val="30"/>
          <w:szCs w:val="30"/>
        </w:rPr>
        <w:t>ACT Revenue Office</w:t>
      </w:r>
    </w:p>
    <w:p w:rsidR="00A73C12" w:rsidRDefault="00A73C12">
      <w:pPr>
        <w:pStyle w:val="BodyText"/>
        <w:kinsoku w:val="0"/>
        <w:overflowPunct w:val="0"/>
        <w:spacing w:before="2"/>
        <w:ind w:left="2586"/>
        <w:rPr>
          <w:sz w:val="14"/>
          <w:szCs w:val="14"/>
        </w:rPr>
      </w:pPr>
      <w:r>
        <w:rPr>
          <w:sz w:val="14"/>
          <w:szCs w:val="14"/>
        </w:rPr>
        <w:t>ABN: 45 096 207 205</w:t>
      </w:r>
    </w:p>
    <w:p w:rsidR="00A73C12" w:rsidRDefault="00A73C12">
      <w:pPr>
        <w:pStyle w:val="BodyText"/>
        <w:kinsoku w:val="0"/>
        <w:overflowPunct w:val="0"/>
        <w:spacing w:before="0"/>
        <w:ind w:left="0"/>
        <w:rPr>
          <w:sz w:val="20"/>
          <w:szCs w:val="20"/>
        </w:rPr>
      </w:pPr>
    </w:p>
    <w:p w:rsidR="00A73C12" w:rsidRDefault="00A73C12">
      <w:pPr>
        <w:pStyle w:val="BodyText"/>
        <w:kinsoku w:val="0"/>
        <w:overflowPunct w:val="0"/>
        <w:spacing w:before="10"/>
        <w:ind w:left="0"/>
      </w:pPr>
    </w:p>
    <w:p w:rsidR="00A73C12" w:rsidRDefault="00A73C12">
      <w:pPr>
        <w:pStyle w:val="Heading1"/>
        <w:kinsoku w:val="0"/>
        <w:overflowPunct w:val="0"/>
        <w:spacing w:before="44"/>
      </w:pPr>
      <w:r>
        <w:t>Revenue Circular PTA074.4</w:t>
      </w:r>
    </w:p>
    <w:p w:rsidR="00A73C12" w:rsidRDefault="00A73C12">
      <w:pPr>
        <w:pStyle w:val="BodyText"/>
        <w:kinsoku w:val="0"/>
        <w:overflowPunct w:val="0"/>
        <w:spacing w:before="0" w:line="341" w:lineRule="exact"/>
        <w:ind w:left="414"/>
        <w:rPr>
          <w:b/>
          <w:bCs/>
          <w:i/>
          <w:iCs/>
          <w:sz w:val="28"/>
          <w:szCs w:val="28"/>
        </w:rPr>
      </w:pPr>
      <w:r>
        <w:rPr>
          <w:b/>
          <w:bCs/>
          <w:i/>
          <w:iCs/>
          <w:sz w:val="28"/>
          <w:szCs w:val="28"/>
        </w:rPr>
        <w:t>Payroll Tax Act 2011</w:t>
      </w:r>
    </w:p>
    <w:p w:rsidR="00A73C12" w:rsidRDefault="00A73C12">
      <w:pPr>
        <w:pStyle w:val="Heading1"/>
        <w:kinsoku w:val="0"/>
        <w:overflowPunct w:val="0"/>
      </w:pPr>
      <w:r>
        <w:t>Exemptions for Employment Agents</w:t>
      </w:r>
    </w:p>
    <w:p w:rsidR="00A73C12" w:rsidRDefault="00A73C12">
      <w:pPr>
        <w:pStyle w:val="BodyText"/>
        <w:kinsoku w:val="0"/>
        <w:overflowPunct w:val="0"/>
        <w:spacing w:before="0"/>
        <w:ind w:left="0"/>
        <w:rPr>
          <w:b/>
          <w:bCs/>
          <w:sz w:val="28"/>
          <w:szCs w:val="28"/>
        </w:rPr>
      </w:pPr>
    </w:p>
    <w:p w:rsidR="00A73C12" w:rsidRDefault="00A73C12">
      <w:pPr>
        <w:pStyle w:val="Heading2"/>
        <w:kinsoku w:val="0"/>
        <w:overflowPunct w:val="0"/>
        <w:spacing w:before="0"/>
        <w:ind w:left="414"/>
      </w:pPr>
      <w:r>
        <w:t>Circular history</w:t>
      </w:r>
    </w:p>
    <w:tbl>
      <w:tblPr>
        <w:tblW w:w="0" w:type="auto"/>
        <w:tblInd w:w="739" w:type="dxa"/>
        <w:tblLayout w:type="fixed"/>
        <w:tblCellMar>
          <w:left w:w="0" w:type="dxa"/>
          <w:right w:w="0" w:type="dxa"/>
        </w:tblCellMar>
        <w:tblLook w:val="0000"/>
      </w:tblPr>
      <w:tblGrid>
        <w:gridCol w:w="991"/>
        <w:gridCol w:w="1561"/>
        <w:gridCol w:w="1560"/>
        <w:gridCol w:w="1699"/>
        <w:gridCol w:w="2694"/>
      </w:tblGrid>
      <w:tr w:rsidR="00A73C12" w:rsidRPr="001062C0">
        <w:trPr>
          <w:trHeight w:val="320"/>
        </w:trPr>
        <w:tc>
          <w:tcPr>
            <w:tcW w:w="991" w:type="dxa"/>
            <w:vMerge w:val="restart"/>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ight="270"/>
              <w:rPr>
                <w:b/>
                <w:bCs/>
                <w:sz w:val="18"/>
                <w:szCs w:val="18"/>
              </w:rPr>
            </w:pPr>
            <w:r w:rsidRPr="001062C0">
              <w:rPr>
                <w:b/>
                <w:bCs/>
                <w:sz w:val="18"/>
                <w:szCs w:val="18"/>
              </w:rPr>
              <w:t>Circular number</w:t>
            </w:r>
          </w:p>
        </w:tc>
        <w:tc>
          <w:tcPr>
            <w:tcW w:w="1561" w:type="dxa"/>
            <w:vMerge w:val="restart"/>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3"/>
              <w:rPr>
                <w:b/>
                <w:bCs/>
                <w:sz w:val="18"/>
                <w:szCs w:val="18"/>
              </w:rPr>
            </w:pPr>
            <w:r w:rsidRPr="001062C0">
              <w:rPr>
                <w:b/>
                <w:bCs/>
                <w:sz w:val="18"/>
                <w:szCs w:val="18"/>
              </w:rPr>
              <w:t>Issued date</w:t>
            </w:r>
          </w:p>
        </w:tc>
        <w:tc>
          <w:tcPr>
            <w:tcW w:w="3259" w:type="dxa"/>
            <w:gridSpan w:val="2"/>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b/>
                <w:bCs/>
                <w:sz w:val="18"/>
                <w:szCs w:val="18"/>
              </w:rPr>
            </w:pPr>
            <w:r w:rsidRPr="001062C0">
              <w:rPr>
                <w:b/>
                <w:bCs/>
                <w:sz w:val="18"/>
                <w:szCs w:val="18"/>
              </w:rPr>
              <w:t>Dates of effect</w:t>
            </w:r>
          </w:p>
        </w:tc>
        <w:tc>
          <w:tcPr>
            <w:tcW w:w="2694" w:type="dxa"/>
            <w:vMerge w:val="restart"/>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b/>
                <w:bCs/>
                <w:sz w:val="18"/>
                <w:szCs w:val="18"/>
              </w:rPr>
            </w:pPr>
            <w:r w:rsidRPr="001062C0">
              <w:rPr>
                <w:b/>
                <w:bCs/>
                <w:sz w:val="18"/>
                <w:szCs w:val="18"/>
              </w:rPr>
              <w:t>Status</w:t>
            </w:r>
          </w:p>
        </w:tc>
      </w:tr>
      <w:tr w:rsidR="00A73C12" w:rsidRPr="001062C0">
        <w:trPr>
          <w:trHeight w:val="320"/>
        </w:trPr>
        <w:tc>
          <w:tcPr>
            <w:tcW w:w="991" w:type="dxa"/>
            <w:vMerge/>
            <w:tcBorders>
              <w:top w:val="single" w:sz="4" w:space="0" w:color="000000"/>
              <w:left w:val="single" w:sz="4" w:space="0" w:color="000000"/>
              <w:bottom w:val="single" w:sz="4" w:space="0" w:color="000000"/>
              <w:right w:val="single" w:sz="4" w:space="0" w:color="000000"/>
            </w:tcBorders>
          </w:tcPr>
          <w:p w:rsidR="00A73C12" w:rsidRPr="001062C0" w:rsidRDefault="00A73C12">
            <w:pPr>
              <w:pStyle w:val="Heading2"/>
              <w:kinsoku w:val="0"/>
              <w:overflowPunct w:val="0"/>
              <w:spacing w:before="0"/>
              <w:ind w:left="414"/>
            </w:pPr>
          </w:p>
        </w:tc>
        <w:tc>
          <w:tcPr>
            <w:tcW w:w="1561" w:type="dxa"/>
            <w:vMerge/>
            <w:tcBorders>
              <w:top w:val="single" w:sz="4" w:space="0" w:color="000000"/>
              <w:left w:val="single" w:sz="4" w:space="0" w:color="000000"/>
              <w:bottom w:val="single" w:sz="4" w:space="0" w:color="000000"/>
              <w:right w:val="single" w:sz="4" w:space="0" w:color="000000"/>
            </w:tcBorders>
          </w:tcPr>
          <w:p w:rsidR="00A73C12" w:rsidRPr="001062C0" w:rsidRDefault="00A73C12">
            <w:pPr>
              <w:pStyle w:val="Heading2"/>
              <w:kinsoku w:val="0"/>
              <w:overflowPunct w:val="0"/>
              <w:spacing w:before="0"/>
              <w:ind w:left="414"/>
            </w:pPr>
          </w:p>
        </w:tc>
        <w:tc>
          <w:tcPr>
            <w:tcW w:w="1560"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b/>
                <w:bCs/>
                <w:sz w:val="18"/>
                <w:szCs w:val="18"/>
              </w:rPr>
            </w:pPr>
            <w:r w:rsidRPr="001062C0">
              <w:rPr>
                <w:b/>
                <w:bCs/>
                <w:sz w:val="18"/>
                <w:szCs w:val="18"/>
              </w:rPr>
              <w:t>From</w:t>
            </w:r>
          </w:p>
        </w:tc>
        <w:tc>
          <w:tcPr>
            <w:tcW w:w="1699"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b/>
                <w:bCs/>
                <w:sz w:val="18"/>
                <w:szCs w:val="18"/>
              </w:rPr>
            </w:pPr>
            <w:r w:rsidRPr="001062C0">
              <w:rPr>
                <w:b/>
                <w:bCs/>
                <w:sz w:val="18"/>
                <w:szCs w:val="18"/>
              </w:rPr>
              <w:t>To</w:t>
            </w:r>
          </w:p>
        </w:tc>
        <w:tc>
          <w:tcPr>
            <w:tcW w:w="2694" w:type="dxa"/>
            <w:vMerge/>
            <w:tcBorders>
              <w:top w:val="single" w:sz="4" w:space="0" w:color="000000"/>
              <w:left w:val="single" w:sz="4" w:space="0" w:color="000000"/>
              <w:bottom w:val="single" w:sz="4" w:space="0" w:color="000000"/>
              <w:right w:val="single" w:sz="4" w:space="0" w:color="000000"/>
            </w:tcBorders>
          </w:tcPr>
          <w:p w:rsidR="00A73C12" w:rsidRPr="001062C0" w:rsidRDefault="00A73C12">
            <w:pPr>
              <w:pStyle w:val="Heading2"/>
              <w:kinsoku w:val="0"/>
              <w:overflowPunct w:val="0"/>
              <w:spacing w:before="0"/>
              <w:ind w:left="414"/>
            </w:pPr>
          </w:p>
        </w:tc>
      </w:tr>
      <w:tr w:rsidR="00A73C12" w:rsidRPr="001062C0">
        <w:trPr>
          <w:trHeight w:val="320"/>
        </w:trPr>
        <w:tc>
          <w:tcPr>
            <w:tcW w:w="99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No 65</w:t>
            </w:r>
          </w:p>
        </w:tc>
        <w:tc>
          <w:tcPr>
            <w:tcW w:w="156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3"/>
              <w:rPr>
                <w:sz w:val="18"/>
                <w:szCs w:val="18"/>
              </w:rPr>
            </w:pPr>
            <w:r w:rsidRPr="001062C0">
              <w:rPr>
                <w:sz w:val="18"/>
                <w:szCs w:val="18"/>
              </w:rPr>
              <w:t>18 May 1999</w:t>
            </w:r>
          </w:p>
        </w:tc>
        <w:tc>
          <w:tcPr>
            <w:tcW w:w="1560"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sz w:val="18"/>
                <w:szCs w:val="18"/>
              </w:rPr>
            </w:pPr>
            <w:r w:rsidRPr="001062C0">
              <w:rPr>
                <w:sz w:val="18"/>
                <w:szCs w:val="18"/>
              </w:rPr>
              <w:t>From 6 May 1999</w:t>
            </w:r>
          </w:p>
        </w:tc>
        <w:tc>
          <w:tcPr>
            <w:tcW w:w="1699"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10 November 1999</w:t>
            </w:r>
          </w:p>
        </w:tc>
        <w:tc>
          <w:tcPr>
            <w:tcW w:w="2694"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sz w:val="18"/>
                <w:szCs w:val="18"/>
              </w:rPr>
            </w:pPr>
            <w:r w:rsidRPr="001062C0">
              <w:rPr>
                <w:sz w:val="18"/>
                <w:szCs w:val="18"/>
              </w:rPr>
              <w:t>Superseded by No 69</w:t>
            </w:r>
          </w:p>
        </w:tc>
      </w:tr>
      <w:tr w:rsidR="00A73C12" w:rsidRPr="001062C0">
        <w:trPr>
          <w:trHeight w:val="540"/>
        </w:trPr>
        <w:tc>
          <w:tcPr>
            <w:tcW w:w="99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No 69</w:t>
            </w:r>
          </w:p>
        </w:tc>
        <w:tc>
          <w:tcPr>
            <w:tcW w:w="156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3"/>
              <w:rPr>
                <w:sz w:val="18"/>
                <w:szCs w:val="18"/>
              </w:rPr>
            </w:pPr>
            <w:r w:rsidRPr="001062C0">
              <w:rPr>
                <w:sz w:val="18"/>
                <w:szCs w:val="18"/>
              </w:rPr>
              <w:t>11 November</w:t>
            </w:r>
          </w:p>
          <w:p w:rsidR="00A73C12" w:rsidRPr="001062C0" w:rsidRDefault="00A73C12">
            <w:pPr>
              <w:pStyle w:val="TableParagraph"/>
              <w:kinsoku w:val="0"/>
              <w:overflowPunct w:val="0"/>
              <w:spacing w:before="0"/>
              <w:ind w:left="103"/>
              <w:rPr>
                <w:sz w:val="18"/>
                <w:szCs w:val="18"/>
              </w:rPr>
            </w:pPr>
            <w:r w:rsidRPr="001062C0">
              <w:rPr>
                <w:sz w:val="18"/>
                <w:szCs w:val="18"/>
              </w:rPr>
              <w:t>1999</w:t>
            </w:r>
          </w:p>
        </w:tc>
        <w:tc>
          <w:tcPr>
            <w:tcW w:w="1560"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sz w:val="18"/>
                <w:szCs w:val="18"/>
              </w:rPr>
            </w:pPr>
            <w:r w:rsidRPr="001062C0">
              <w:rPr>
                <w:sz w:val="18"/>
                <w:szCs w:val="18"/>
              </w:rPr>
              <w:t>11 November</w:t>
            </w:r>
          </w:p>
          <w:p w:rsidR="00A73C12" w:rsidRPr="001062C0" w:rsidRDefault="00A73C12">
            <w:pPr>
              <w:pStyle w:val="TableParagraph"/>
              <w:kinsoku w:val="0"/>
              <w:overflowPunct w:val="0"/>
              <w:spacing w:before="0"/>
              <w:rPr>
                <w:sz w:val="18"/>
                <w:szCs w:val="18"/>
              </w:rPr>
            </w:pPr>
            <w:r w:rsidRPr="001062C0">
              <w:rPr>
                <w:sz w:val="18"/>
                <w:szCs w:val="18"/>
              </w:rPr>
              <w:t>1999</w:t>
            </w:r>
          </w:p>
        </w:tc>
        <w:tc>
          <w:tcPr>
            <w:tcW w:w="1699"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30 June 2008</w:t>
            </w:r>
          </w:p>
        </w:tc>
        <w:tc>
          <w:tcPr>
            <w:tcW w:w="2694"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right="507"/>
              <w:rPr>
                <w:sz w:val="18"/>
                <w:szCs w:val="18"/>
              </w:rPr>
            </w:pPr>
            <w:r w:rsidRPr="001062C0">
              <w:rPr>
                <w:sz w:val="18"/>
                <w:szCs w:val="18"/>
              </w:rPr>
              <w:t>Republished as PTX023 with minor amendments</w:t>
            </w:r>
          </w:p>
        </w:tc>
      </w:tr>
      <w:tr w:rsidR="00A73C12" w:rsidRPr="001062C0">
        <w:trPr>
          <w:trHeight w:val="540"/>
        </w:trPr>
        <w:tc>
          <w:tcPr>
            <w:tcW w:w="99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spacing w:before="57"/>
              <w:ind w:left="100"/>
              <w:rPr>
                <w:sz w:val="18"/>
                <w:szCs w:val="18"/>
              </w:rPr>
            </w:pPr>
            <w:r w:rsidRPr="001062C0">
              <w:rPr>
                <w:sz w:val="18"/>
                <w:szCs w:val="18"/>
              </w:rPr>
              <w:t>PTX023</w:t>
            </w:r>
          </w:p>
        </w:tc>
        <w:tc>
          <w:tcPr>
            <w:tcW w:w="156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spacing w:before="57"/>
              <w:ind w:left="103"/>
              <w:rPr>
                <w:sz w:val="18"/>
                <w:szCs w:val="18"/>
              </w:rPr>
            </w:pPr>
            <w:r w:rsidRPr="001062C0">
              <w:rPr>
                <w:sz w:val="18"/>
                <w:szCs w:val="18"/>
              </w:rPr>
              <w:t>30 June 2008</w:t>
            </w:r>
          </w:p>
        </w:tc>
        <w:tc>
          <w:tcPr>
            <w:tcW w:w="1560"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spacing w:before="57"/>
              <w:rPr>
                <w:sz w:val="18"/>
                <w:szCs w:val="18"/>
              </w:rPr>
            </w:pPr>
            <w:r w:rsidRPr="001062C0">
              <w:rPr>
                <w:sz w:val="18"/>
                <w:szCs w:val="18"/>
              </w:rPr>
              <w:t>1 July 2008</w:t>
            </w:r>
          </w:p>
        </w:tc>
        <w:tc>
          <w:tcPr>
            <w:tcW w:w="1699"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spacing w:before="57"/>
              <w:ind w:left="100"/>
              <w:rPr>
                <w:sz w:val="18"/>
                <w:szCs w:val="18"/>
              </w:rPr>
            </w:pPr>
            <w:r w:rsidRPr="001062C0">
              <w:rPr>
                <w:sz w:val="18"/>
                <w:szCs w:val="18"/>
              </w:rPr>
              <w:t>30 June 2010</w:t>
            </w:r>
          </w:p>
        </w:tc>
        <w:tc>
          <w:tcPr>
            <w:tcW w:w="2694"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spacing w:before="57"/>
              <w:ind w:right="370"/>
              <w:rPr>
                <w:sz w:val="18"/>
                <w:szCs w:val="18"/>
              </w:rPr>
            </w:pPr>
            <w:r w:rsidRPr="001062C0">
              <w:rPr>
                <w:sz w:val="18"/>
                <w:szCs w:val="18"/>
              </w:rPr>
              <w:t>Republished as PTX023.1 with minor amendments</w:t>
            </w:r>
          </w:p>
        </w:tc>
      </w:tr>
      <w:tr w:rsidR="00A73C12" w:rsidRPr="001062C0">
        <w:trPr>
          <w:trHeight w:val="540"/>
        </w:trPr>
        <w:tc>
          <w:tcPr>
            <w:tcW w:w="99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PTX023.1</w:t>
            </w:r>
          </w:p>
        </w:tc>
        <w:tc>
          <w:tcPr>
            <w:tcW w:w="156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3"/>
              <w:rPr>
                <w:sz w:val="18"/>
                <w:szCs w:val="18"/>
              </w:rPr>
            </w:pPr>
            <w:r w:rsidRPr="001062C0">
              <w:rPr>
                <w:sz w:val="18"/>
                <w:szCs w:val="18"/>
              </w:rPr>
              <w:t>30 June 2010</w:t>
            </w:r>
          </w:p>
        </w:tc>
        <w:tc>
          <w:tcPr>
            <w:tcW w:w="1560"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sz w:val="18"/>
                <w:szCs w:val="18"/>
              </w:rPr>
            </w:pPr>
            <w:r w:rsidRPr="001062C0">
              <w:rPr>
                <w:sz w:val="18"/>
                <w:szCs w:val="18"/>
              </w:rPr>
              <w:t>1 July 2010</w:t>
            </w:r>
          </w:p>
        </w:tc>
        <w:tc>
          <w:tcPr>
            <w:tcW w:w="1699"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30 June 2011</w:t>
            </w:r>
          </w:p>
        </w:tc>
        <w:tc>
          <w:tcPr>
            <w:tcW w:w="2694"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right="496"/>
              <w:rPr>
                <w:sz w:val="18"/>
                <w:szCs w:val="18"/>
              </w:rPr>
            </w:pPr>
            <w:r w:rsidRPr="001062C0">
              <w:rPr>
                <w:sz w:val="18"/>
                <w:szCs w:val="18"/>
              </w:rPr>
              <w:t>Republished as PTA074 with minor amendments</w:t>
            </w:r>
          </w:p>
        </w:tc>
      </w:tr>
      <w:tr w:rsidR="00A73C12" w:rsidRPr="001062C0">
        <w:trPr>
          <w:trHeight w:val="760"/>
        </w:trPr>
        <w:tc>
          <w:tcPr>
            <w:tcW w:w="99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PTA074</w:t>
            </w:r>
          </w:p>
        </w:tc>
        <w:tc>
          <w:tcPr>
            <w:tcW w:w="156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3"/>
              <w:rPr>
                <w:sz w:val="18"/>
                <w:szCs w:val="18"/>
              </w:rPr>
            </w:pPr>
            <w:r w:rsidRPr="001062C0">
              <w:rPr>
                <w:sz w:val="18"/>
                <w:szCs w:val="18"/>
              </w:rPr>
              <w:t>30 June 2011</w:t>
            </w:r>
          </w:p>
        </w:tc>
        <w:tc>
          <w:tcPr>
            <w:tcW w:w="1560"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sz w:val="18"/>
                <w:szCs w:val="18"/>
              </w:rPr>
            </w:pPr>
            <w:r w:rsidRPr="001062C0">
              <w:rPr>
                <w:sz w:val="18"/>
                <w:szCs w:val="18"/>
              </w:rPr>
              <w:t>1 July 2011</w:t>
            </w:r>
          </w:p>
        </w:tc>
        <w:tc>
          <w:tcPr>
            <w:tcW w:w="1699"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30 September 2013</w:t>
            </w:r>
          </w:p>
        </w:tc>
        <w:tc>
          <w:tcPr>
            <w:tcW w:w="2694"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right="359"/>
              <w:rPr>
                <w:sz w:val="18"/>
                <w:szCs w:val="18"/>
              </w:rPr>
            </w:pPr>
            <w:r w:rsidRPr="001062C0">
              <w:rPr>
                <w:sz w:val="18"/>
                <w:szCs w:val="18"/>
              </w:rPr>
              <w:t>Republished as PTA074.1 with amendments (in relation to ‘genuine employer’)</w:t>
            </w:r>
          </w:p>
        </w:tc>
      </w:tr>
      <w:tr w:rsidR="00A73C12" w:rsidRPr="001062C0">
        <w:trPr>
          <w:trHeight w:val="540"/>
        </w:trPr>
        <w:tc>
          <w:tcPr>
            <w:tcW w:w="99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PTA074.1</w:t>
            </w:r>
          </w:p>
        </w:tc>
        <w:tc>
          <w:tcPr>
            <w:tcW w:w="156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3"/>
              <w:rPr>
                <w:sz w:val="18"/>
                <w:szCs w:val="18"/>
              </w:rPr>
            </w:pPr>
            <w:r w:rsidRPr="001062C0">
              <w:rPr>
                <w:sz w:val="18"/>
                <w:szCs w:val="18"/>
              </w:rPr>
              <w:t>3 March 2014</w:t>
            </w:r>
          </w:p>
        </w:tc>
        <w:tc>
          <w:tcPr>
            <w:tcW w:w="1560"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sz w:val="18"/>
                <w:szCs w:val="18"/>
              </w:rPr>
            </w:pPr>
            <w:r w:rsidRPr="001062C0">
              <w:rPr>
                <w:sz w:val="18"/>
                <w:szCs w:val="18"/>
              </w:rPr>
              <w:t>1 October 2013</w:t>
            </w:r>
          </w:p>
        </w:tc>
        <w:tc>
          <w:tcPr>
            <w:tcW w:w="1699"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15 April 2014</w:t>
            </w:r>
          </w:p>
        </w:tc>
        <w:tc>
          <w:tcPr>
            <w:tcW w:w="2694"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right="359"/>
              <w:rPr>
                <w:sz w:val="18"/>
                <w:szCs w:val="18"/>
              </w:rPr>
            </w:pPr>
            <w:r w:rsidRPr="001062C0">
              <w:rPr>
                <w:sz w:val="18"/>
                <w:szCs w:val="18"/>
              </w:rPr>
              <w:t>Republished as PTA074.2 with minor amendments</w:t>
            </w:r>
          </w:p>
        </w:tc>
      </w:tr>
      <w:tr w:rsidR="00A73C12" w:rsidRPr="001062C0">
        <w:trPr>
          <w:trHeight w:val="760"/>
        </w:trPr>
        <w:tc>
          <w:tcPr>
            <w:tcW w:w="99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spacing w:before="54"/>
              <w:ind w:left="100"/>
              <w:rPr>
                <w:sz w:val="18"/>
                <w:szCs w:val="18"/>
              </w:rPr>
            </w:pPr>
            <w:r w:rsidRPr="001062C0">
              <w:rPr>
                <w:sz w:val="18"/>
                <w:szCs w:val="18"/>
              </w:rPr>
              <w:t>PTA074.2</w:t>
            </w:r>
          </w:p>
        </w:tc>
        <w:tc>
          <w:tcPr>
            <w:tcW w:w="156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spacing w:before="54"/>
              <w:ind w:left="103"/>
              <w:rPr>
                <w:sz w:val="18"/>
                <w:szCs w:val="18"/>
              </w:rPr>
            </w:pPr>
            <w:r w:rsidRPr="001062C0">
              <w:rPr>
                <w:sz w:val="18"/>
                <w:szCs w:val="18"/>
              </w:rPr>
              <w:t>16 April 2014</w:t>
            </w:r>
          </w:p>
        </w:tc>
        <w:tc>
          <w:tcPr>
            <w:tcW w:w="1560"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spacing w:before="54"/>
              <w:rPr>
                <w:sz w:val="18"/>
                <w:szCs w:val="18"/>
              </w:rPr>
            </w:pPr>
            <w:r w:rsidRPr="001062C0">
              <w:rPr>
                <w:sz w:val="18"/>
                <w:szCs w:val="18"/>
              </w:rPr>
              <w:t>16 April 2014</w:t>
            </w:r>
          </w:p>
        </w:tc>
        <w:tc>
          <w:tcPr>
            <w:tcW w:w="1699"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spacing w:before="54"/>
              <w:ind w:left="100"/>
              <w:rPr>
                <w:sz w:val="18"/>
                <w:szCs w:val="18"/>
              </w:rPr>
            </w:pPr>
            <w:r w:rsidRPr="001062C0">
              <w:rPr>
                <w:sz w:val="18"/>
                <w:szCs w:val="18"/>
              </w:rPr>
              <w:t>31 December 2014</w:t>
            </w:r>
          </w:p>
        </w:tc>
        <w:tc>
          <w:tcPr>
            <w:tcW w:w="2694"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spacing w:before="54"/>
              <w:ind w:right="359"/>
              <w:rPr>
                <w:sz w:val="18"/>
                <w:szCs w:val="18"/>
              </w:rPr>
            </w:pPr>
            <w:r w:rsidRPr="001062C0">
              <w:rPr>
                <w:sz w:val="18"/>
                <w:szCs w:val="18"/>
              </w:rPr>
              <w:t>Republished as PTA074.3 with amendments (in relation to ‘genuine employer’)</w:t>
            </w:r>
          </w:p>
        </w:tc>
      </w:tr>
      <w:tr w:rsidR="00A73C12" w:rsidRPr="001062C0">
        <w:trPr>
          <w:trHeight w:val="320"/>
        </w:trPr>
        <w:tc>
          <w:tcPr>
            <w:tcW w:w="99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PTA074.3</w:t>
            </w:r>
          </w:p>
        </w:tc>
        <w:tc>
          <w:tcPr>
            <w:tcW w:w="156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3"/>
              <w:rPr>
                <w:sz w:val="18"/>
                <w:szCs w:val="18"/>
              </w:rPr>
            </w:pPr>
            <w:r w:rsidRPr="001062C0">
              <w:rPr>
                <w:sz w:val="18"/>
                <w:szCs w:val="18"/>
              </w:rPr>
              <w:t>5 December 2014</w:t>
            </w:r>
          </w:p>
        </w:tc>
        <w:tc>
          <w:tcPr>
            <w:tcW w:w="1560"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sz w:val="18"/>
                <w:szCs w:val="18"/>
              </w:rPr>
            </w:pPr>
            <w:r w:rsidRPr="001062C0">
              <w:rPr>
                <w:sz w:val="18"/>
                <w:szCs w:val="18"/>
              </w:rPr>
              <w:t>1 January 2015</w:t>
            </w:r>
          </w:p>
        </w:tc>
        <w:tc>
          <w:tcPr>
            <w:tcW w:w="1699"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Superseded</w:t>
            </w:r>
          </w:p>
        </w:tc>
        <w:tc>
          <w:tcPr>
            <w:tcW w:w="2694"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43"/>
              <w:rPr>
                <w:sz w:val="18"/>
                <w:szCs w:val="18"/>
              </w:rPr>
            </w:pPr>
            <w:r w:rsidRPr="001062C0">
              <w:rPr>
                <w:sz w:val="18"/>
                <w:szCs w:val="18"/>
              </w:rPr>
              <w:t>Superseded by PTA074.4</w:t>
            </w:r>
          </w:p>
        </w:tc>
      </w:tr>
      <w:tr w:rsidR="00A73C12" w:rsidRPr="001062C0">
        <w:trPr>
          <w:trHeight w:val="320"/>
        </w:trPr>
        <w:tc>
          <w:tcPr>
            <w:tcW w:w="99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sz w:val="18"/>
                <w:szCs w:val="18"/>
              </w:rPr>
            </w:pPr>
            <w:r w:rsidRPr="001062C0">
              <w:rPr>
                <w:sz w:val="18"/>
                <w:szCs w:val="18"/>
              </w:rPr>
              <w:t>PTA074.4</w:t>
            </w:r>
          </w:p>
        </w:tc>
        <w:tc>
          <w:tcPr>
            <w:tcW w:w="1561"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3"/>
              <w:rPr>
                <w:sz w:val="18"/>
                <w:szCs w:val="18"/>
              </w:rPr>
            </w:pPr>
            <w:r w:rsidRPr="001062C0">
              <w:rPr>
                <w:sz w:val="18"/>
                <w:szCs w:val="18"/>
              </w:rPr>
              <w:t>3 February 2015</w:t>
            </w:r>
          </w:p>
        </w:tc>
        <w:tc>
          <w:tcPr>
            <w:tcW w:w="1560"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sz w:val="18"/>
                <w:szCs w:val="18"/>
              </w:rPr>
            </w:pPr>
            <w:r w:rsidRPr="001062C0">
              <w:rPr>
                <w:sz w:val="18"/>
                <w:szCs w:val="18"/>
              </w:rPr>
              <w:t>1 January 2015</w:t>
            </w:r>
          </w:p>
        </w:tc>
        <w:tc>
          <w:tcPr>
            <w:tcW w:w="1699"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ind w:left="100"/>
              <w:rPr>
                <w:b/>
                <w:bCs/>
                <w:sz w:val="18"/>
                <w:szCs w:val="18"/>
              </w:rPr>
            </w:pPr>
            <w:r w:rsidRPr="001062C0">
              <w:rPr>
                <w:b/>
                <w:bCs/>
                <w:sz w:val="18"/>
                <w:szCs w:val="18"/>
              </w:rPr>
              <w:t>-</w:t>
            </w:r>
          </w:p>
        </w:tc>
        <w:tc>
          <w:tcPr>
            <w:tcW w:w="2694" w:type="dxa"/>
            <w:tcBorders>
              <w:top w:val="single" w:sz="4" w:space="0" w:color="000000"/>
              <w:left w:val="single" w:sz="4" w:space="0" w:color="000000"/>
              <w:bottom w:val="single" w:sz="4" w:space="0" w:color="000000"/>
              <w:right w:val="single" w:sz="4" w:space="0" w:color="000000"/>
            </w:tcBorders>
          </w:tcPr>
          <w:p w:rsidR="00A73C12" w:rsidRPr="001062C0" w:rsidRDefault="00A73C12">
            <w:pPr>
              <w:pStyle w:val="TableParagraph"/>
              <w:kinsoku w:val="0"/>
              <w:overflowPunct w:val="0"/>
              <w:rPr>
                <w:sz w:val="18"/>
                <w:szCs w:val="18"/>
              </w:rPr>
            </w:pPr>
            <w:r w:rsidRPr="001062C0">
              <w:rPr>
                <w:sz w:val="18"/>
                <w:szCs w:val="18"/>
              </w:rPr>
              <w:t>Current</w:t>
            </w:r>
          </w:p>
        </w:tc>
      </w:tr>
    </w:tbl>
    <w:p w:rsidR="00A73C12" w:rsidRDefault="00A73C12">
      <w:pPr>
        <w:pStyle w:val="BodyText"/>
        <w:kinsoku w:val="0"/>
        <w:overflowPunct w:val="0"/>
        <w:ind w:left="414"/>
        <w:rPr>
          <w:b/>
          <w:bCs/>
          <w:sz w:val="26"/>
          <w:szCs w:val="26"/>
        </w:rPr>
      </w:pPr>
      <w:r>
        <w:rPr>
          <w:b/>
          <w:bCs/>
          <w:sz w:val="26"/>
          <w:szCs w:val="26"/>
        </w:rPr>
        <w:t>Preamble</w:t>
      </w:r>
    </w:p>
    <w:p w:rsidR="00A73C12" w:rsidRDefault="00A73C12">
      <w:pPr>
        <w:pStyle w:val="BodyText"/>
        <w:kinsoku w:val="0"/>
        <w:overflowPunct w:val="0"/>
        <w:spacing w:before="121"/>
        <w:ind w:left="414" w:right="302"/>
      </w:pPr>
      <w:r>
        <w:t xml:space="preserve">The </w:t>
      </w:r>
      <w:r>
        <w:rPr>
          <w:i/>
          <w:iCs/>
        </w:rPr>
        <w:t xml:space="preserve">Payroll Tax Act 2011 </w:t>
      </w:r>
      <w:r>
        <w:t xml:space="preserve">(the Act), which commenced on 1 July 2011, rewrites the </w:t>
      </w:r>
      <w:r>
        <w:rPr>
          <w:i/>
          <w:iCs/>
        </w:rPr>
        <w:t xml:space="preserve">Payroll Tax Act 1987 </w:t>
      </w:r>
      <w:r>
        <w:t>(the 1987 Act) and harmonises the payroll tax legislation in the Australian jurisdictions.</w:t>
      </w:r>
    </w:p>
    <w:p w:rsidR="00A73C12" w:rsidRDefault="00A73C12">
      <w:pPr>
        <w:pStyle w:val="ListParagraph"/>
        <w:numPr>
          <w:ilvl w:val="0"/>
          <w:numId w:val="1"/>
        </w:numPr>
        <w:tabs>
          <w:tab w:val="left" w:pos="1267"/>
        </w:tabs>
        <w:kinsoku w:val="0"/>
        <w:overflowPunct w:val="0"/>
        <w:ind w:right="146" w:firstLine="0"/>
      </w:pPr>
      <w:r>
        <w:t>The Act imposes a liability to ACT payroll tax on an employer for any wages paid or payable by the employer for services rendered or performed in, or partly in, the</w:t>
      </w:r>
      <w:r>
        <w:rPr>
          <w:spacing w:val="-29"/>
        </w:rPr>
        <w:t xml:space="preserve"> </w:t>
      </w:r>
      <w:r>
        <w:t>ACT.</w:t>
      </w:r>
    </w:p>
    <w:p w:rsidR="00A73C12" w:rsidRDefault="00A73C12">
      <w:pPr>
        <w:pStyle w:val="ListParagraph"/>
        <w:numPr>
          <w:ilvl w:val="0"/>
          <w:numId w:val="1"/>
        </w:numPr>
        <w:tabs>
          <w:tab w:val="left" w:pos="1267"/>
        </w:tabs>
        <w:kinsoku w:val="0"/>
        <w:overflowPunct w:val="0"/>
        <w:ind w:right="485" w:firstLine="0"/>
      </w:pPr>
      <w:r>
        <w:t xml:space="preserve">Under schedule 2, part 2.3 of the Act wages paid or payable by an employment agent to a subcontractor are exempt wages in the hands of an employment agent, provided the subcontractor can demonstrate that it is a </w:t>
      </w:r>
      <w:r>
        <w:rPr>
          <w:i/>
          <w:iCs/>
        </w:rPr>
        <w:t xml:space="preserve">bona fide </w:t>
      </w:r>
      <w:r>
        <w:t>employer in its own right.</w:t>
      </w:r>
    </w:p>
    <w:p w:rsidR="00A73C12" w:rsidRDefault="00A73C12">
      <w:pPr>
        <w:pStyle w:val="Heading2"/>
        <w:kinsoku w:val="0"/>
        <w:overflowPunct w:val="0"/>
        <w:ind w:left="414"/>
      </w:pPr>
      <w:r>
        <w:t>Circular</w:t>
      </w:r>
    </w:p>
    <w:p w:rsidR="00A73C12" w:rsidRDefault="00A73C12">
      <w:pPr>
        <w:pStyle w:val="ListParagraph"/>
        <w:numPr>
          <w:ilvl w:val="0"/>
          <w:numId w:val="1"/>
        </w:numPr>
        <w:tabs>
          <w:tab w:val="left" w:pos="1267"/>
        </w:tabs>
        <w:kinsoku w:val="0"/>
        <w:overflowPunct w:val="0"/>
        <w:spacing w:before="121"/>
        <w:ind w:right="484" w:firstLine="0"/>
      </w:pPr>
      <w:r>
        <w:t>This circular is to assist employment agents to determine the application of the exemption provisions on their own payroll tax</w:t>
      </w:r>
      <w:r>
        <w:rPr>
          <w:spacing w:val="-19"/>
        </w:rPr>
        <w:t xml:space="preserve"> </w:t>
      </w:r>
      <w:r>
        <w:t>liability.</w:t>
      </w:r>
    </w:p>
    <w:p w:rsidR="00A73C12" w:rsidRDefault="00A73C12">
      <w:pPr>
        <w:pStyle w:val="Heading2"/>
        <w:kinsoku w:val="0"/>
        <w:overflowPunct w:val="0"/>
        <w:spacing w:before="120"/>
        <w:ind w:left="414"/>
      </w:pPr>
      <w:r>
        <w:t>Exemptions under schedule 2, part 2.3 of the Act</w:t>
      </w:r>
    </w:p>
    <w:p w:rsidR="00A73C12" w:rsidRDefault="00A73C12">
      <w:pPr>
        <w:pStyle w:val="ListParagraph"/>
        <w:numPr>
          <w:ilvl w:val="0"/>
          <w:numId w:val="1"/>
        </w:numPr>
        <w:tabs>
          <w:tab w:val="left" w:pos="1267"/>
        </w:tabs>
        <w:kinsoku w:val="0"/>
        <w:overflowPunct w:val="0"/>
        <w:ind w:right="121" w:firstLine="0"/>
      </w:pPr>
      <w:r>
        <w:t>Schedule 2, part 2.3, section 2.14 (1) of the Act provides a payroll tax exemption for wages paid or payable by an employment agent to a person (the subcontractor) under</w:t>
      </w:r>
      <w:r>
        <w:rPr>
          <w:spacing w:val="-28"/>
        </w:rPr>
        <w:t xml:space="preserve"> </w:t>
      </w:r>
      <w:r>
        <w:t>a</w:t>
      </w:r>
    </w:p>
    <w:p w:rsidR="00A73C12" w:rsidRDefault="00A73C12">
      <w:pPr>
        <w:pStyle w:val="BodyText"/>
        <w:kinsoku w:val="0"/>
        <w:overflowPunct w:val="0"/>
        <w:spacing w:before="0"/>
        <w:ind w:left="0"/>
        <w:rPr>
          <w:sz w:val="20"/>
          <w:szCs w:val="20"/>
        </w:rPr>
      </w:pPr>
    </w:p>
    <w:p w:rsidR="00A73C12" w:rsidRDefault="00A73C12">
      <w:pPr>
        <w:pStyle w:val="BodyText"/>
        <w:kinsoku w:val="0"/>
        <w:overflowPunct w:val="0"/>
        <w:spacing w:before="0"/>
        <w:ind w:left="0"/>
        <w:rPr>
          <w:sz w:val="16"/>
          <w:szCs w:val="16"/>
        </w:rPr>
      </w:pPr>
    </w:p>
    <w:p w:rsidR="00A73C12" w:rsidRDefault="00A73C12">
      <w:pPr>
        <w:pStyle w:val="BodyText"/>
        <w:kinsoku w:val="0"/>
        <w:overflowPunct w:val="0"/>
        <w:spacing w:before="63"/>
        <w:ind w:left="2147" w:right="1004"/>
        <w:jc w:val="center"/>
        <w:rPr>
          <w:b/>
          <w:bCs/>
          <w:color w:val="0000FF"/>
          <w:sz w:val="18"/>
          <w:szCs w:val="18"/>
        </w:rPr>
      </w:pPr>
      <w:r>
        <w:rPr>
          <w:b/>
          <w:bCs/>
          <w:sz w:val="18"/>
          <w:szCs w:val="18"/>
        </w:rPr>
        <w:t xml:space="preserve">PO Box 293, Civic Square ACT 2608  |  phone: 6207 0028  | </w:t>
      </w:r>
      <w:hyperlink r:id="rId13" w:history="1">
        <w:r>
          <w:rPr>
            <w:b/>
            <w:bCs/>
            <w:color w:val="0000FF"/>
            <w:sz w:val="18"/>
            <w:szCs w:val="18"/>
            <w:u w:val="single"/>
          </w:rPr>
          <w:t>www.revenue.act.gov.au</w:t>
        </w:r>
      </w:hyperlink>
    </w:p>
    <w:p w:rsidR="00A73C12" w:rsidRDefault="00A73C12">
      <w:pPr>
        <w:pStyle w:val="BodyText"/>
        <w:kinsoku w:val="0"/>
        <w:overflowPunct w:val="0"/>
        <w:spacing w:before="0" w:line="219" w:lineRule="exact"/>
        <w:ind w:left="2147" w:right="1004"/>
        <w:jc w:val="center"/>
        <w:rPr>
          <w:sz w:val="18"/>
          <w:szCs w:val="18"/>
        </w:rPr>
      </w:pPr>
      <w:r>
        <w:rPr>
          <w:sz w:val="18"/>
          <w:szCs w:val="18"/>
        </w:rPr>
        <w:t>Entrance on London Circuit, Canberra Nara Centre,</w:t>
      </w:r>
    </w:p>
    <w:p w:rsidR="00A73C12" w:rsidRDefault="00A73C12">
      <w:pPr>
        <w:pStyle w:val="BodyText"/>
        <w:kinsoku w:val="0"/>
        <w:overflowPunct w:val="0"/>
        <w:spacing w:before="0" w:line="219" w:lineRule="exact"/>
        <w:ind w:left="2147" w:right="1002"/>
        <w:jc w:val="center"/>
        <w:rPr>
          <w:sz w:val="18"/>
          <w:szCs w:val="18"/>
        </w:rPr>
      </w:pPr>
      <w:r>
        <w:rPr>
          <w:sz w:val="18"/>
          <w:szCs w:val="18"/>
        </w:rPr>
        <w:t>Cnr London Circuit &amp; Constitution Avenue, CANBERRA CITY</w:t>
      </w:r>
    </w:p>
    <w:p w:rsidR="00A73C12" w:rsidRDefault="00A73C12">
      <w:pPr>
        <w:pStyle w:val="BodyText"/>
        <w:kinsoku w:val="0"/>
        <w:overflowPunct w:val="0"/>
        <w:spacing w:before="1"/>
        <w:ind w:left="0" w:right="115"/>
        <w:jc w:val="right"/>
        <w:rPr>
          <w:sz w:val="18"/>
          <w:szCs w:val="18"/>
        </w:rPr>
      </w:pPr>
      <w:r>
        <w:rPr>
          <w:sz w:val="18"/>
          <w:szCs w:val="18"/>
        </w:rPr>
        <w:t>1</w:t>
      </w:r>
    </w:p>
    <w:p w:rsidR="00A73C12" w:rsidRDefault="00A73C12">
      <w:pPr>
        <w:pStyle w:val="BodyText"/>
        <w:kinsoku w:val="0"/>
        <w:overflowPunct w:val="0"/>
        <w:spacing w:before="1"/>
        <w:ind w:left="0" w:right="115"/>
        <w:jc w:val="right"/>
        <w:rPr>
          <w:sz w:val="18"/>
          <w:szCs w:val="18"/>
        </w:rPr>
        <w:sectPr w:rsidR="00A73C12">
          <w:type w:val="continuous"/>
          <w:pgSz w:w="11900" w:h="16850"/>
          <w:pgMar w:top="600" w:right="1580" w:bottom="280" w:left="860" w:header="720" w:footer="720" w:gutter="0"/>
          <w:cols w:space="720"/>
          <w:noEndnote/>
        </w:sectPr>
      </w:pPr>
    </w:p>
    <w:p w:rsidR="00A73C12" w:rsidRDefault="00A73C12">
      <w:pPr>
        <w:pStyle w:val="BodyText"/>
        <w:kinsoku w:val="0"/>
        <w:overflowPunct w:val="0"/>
        <w:spacing w:before="37"/>
        <w:ind w:right="1422"/>
      </w:pPr>
      <w:r>
        <w:lastRenderedPageBreak/>
        <w:t>contract between the agent and the subcontractor for work performed by the subcontractor for a client of the agent in any of the following cases:</w:t>
      </w:r>
    </w:p>
    <w:p w:rsidR="00A73C12" w:rsidRDefault="00A73C12">
      <w:pPr>
        <w:pStyle w:val="ListParagraph"/>
        <w:numPr>
          <w:ilvl w:val="1"/>
          <w:numId w:val="1"/>
        </w:numPr>
        <w:tabs>
          <w:tab w:val="left" w:pos="1687"/>
        </w:tabs>
        <w:kinsoku w:val="0"/>
        <w:overflowPunct w:val="0"/>
        <w:ind w:right="248" w:firstLine="0"/>
      </w:pPr>
      <w:r>
        <w:t>the subcontractor also supplies goods to the client under the contract</w:t>
      </w:r>
      <w:r>
        <w:rPr>
          <w:spacing w:val="-34"/>
        </w:rPr>
        <w:t xml:space="preserve"> </w:t>
      </w:r>
      <w:r>
        <w:t>and the wages amount to less than 50% of the value of the consideration paid or payable by the agent to the subcontractor for services and goods supplied to that client;</w:t>
      </w:r>
    </w:p>
    <w:p w:rsidR="00A73C12" w:rsidRDefault="00A73C12">
      <w:pPr>
        <w:pStyle w:val="ListParagraph"/>
        <w:numPr>
          <w:ilvl w:val="1"/>
          <w:numId w:val="1"/>
        </w:numPr>
        <w:tabs>
          <w:tab w:val="left" w:pos="1687"/>
        </w:tabs>
        <w:kinsoku w:val="0"/>
        <w:overflowPunct w:val="0"/>
        <w:ind w:right="411" w:firstLine="0"/>
      </w:pPr>
      <w:r>
        <w:t>the services provided by the subcontractor to the client are of a kind</w:t>
      </w:r>
      <w:r>
        <w:rPr>
          <w:spacing w:val="-37"/>
        </w:rPr>
        <w:t xml:space="preserve"> </w:t>
      </w:r>
      <w:r>
        <w:t>not ordinarily required by the employment agent and the subcontractor ordinarily renders services of that kind to the public</w:t>
      </w:r>
      <w:r>
        <w:rPr>
          <w:spacing w:val="-25"/>
        </w:rPr>
        <w:t xml:space="preserve"> </w:t>
      </w:r>
      <w:r>
        <w:t>generally;</w:t>
      </w:r>
    </w:p>
    <w:p w:rsidR="00A73C12" w:rsidRDefault="00A73C12">
      <w:pPr>
        <w:pStyle w:val="ListParagraph"/>
        <w:numPr>
          <w:ilvl w:val="1"/>
          <w:numId w:val="1"/>
        </w:numPr>
        <w:tabs>
          <w:tab w:val="left" w:pos="1687"/>
        </w:tabs>
        <w:kinsoku w:val="0"/>
        <w:overflowPunct w:val="0"/>
        <w:spacing w:line="242" w:lineRule="auto"/>
        <w:ind w:right="167" w:firstLine="0"/>
      </w:pPr>
      <w:r>
        <w:t>the subcontractor is a body corporate and individuals of both the following kinds perform the work for which the wages are paid or</w:t>
      </w:r>
      <w:r>
        <w:rPr>
          <w:spacing w:val="-25"/>
        </w:rPr>
        <w:t xml:space="preserve"> </w:t>
      </w:r>
      <w:r>
        <w:t>payable:</w:t>
      </w:r>
    </w:p>
    <w:p w:rsidR="00A73C12" w:rsidRDefault="00A73C12">
      <w:pPr>
        <w:pStyle w:val="ListParagraph"/>
        <w:numPr>
          <w:ilvl w:val="2"/>
          <w:numId w:val="1"/>
        </w:numPr>
        <w:tabs>
          <w:tab w:val="left" w:pos="1942"/>
        </w:tabs>
        <w:kinsoku w:val="0"/>
        <w:overflowPunct w:val="0"/>
        <w:spacing w:before="116"/>
      </w:pPr>
      <w:r>
        <w:t>a director or shareholder of the</w:t>
      </w:r>
      <w:r>
        <w:rPr>
          <w:spacing w:val="-16"/>
        </w:rPr>
        <w:t xml:space="preserve"> </w:t>
      </w:r>
      <w:r>
        <w:t>body;</w:t>
      </w:r>
    </w:p>
    <w:p w:rsidR="00A73C12" w:rsidRDefault="00A73C12">
      <w:pPr>
        <w:pStyle w:val="ListParagraph"/>
        <w:numPr>
          <w:ilvl w:val="2"/>
          <w:numId w:val="1"/>
        </w:numPr>
        <w:tabs>
          <w:tab w:val="left" w:pos="1997"/>
        </w:tabs>
        <w:kinsoku w:val="0"/>
        <w:overflowPunct w:val="0"/>
        <w:ind w:left="1996" w:hanging="310"/>
      </w:pPr>
      <w:r>
        <w:t>an employee of the body who is not a director or</w:t>
      </w:r>
      <w:r>
        <w:rPr>
          <w:spacing w:val="-25"/>
        </w:rPr>
        <w:t xml:space="preserve"> </w:t>
      </w:r>
      <w:r>
        <w:t>shareholder;</w:t>
      </w:r>
    </w:p>
    <w:p w:rsidR="00A73C12" w:rsidRDefault="00A73C12">
      <w:pPr>
        <w:pStyle w:val="ListParagraph"/>
        <w:numPr>
          <w:ilvl w:val="1"/>
          <w:numId w:val="1"/>
        </w:numPr>
        <w:tabs>
          <w:tab w:val="left" w:pos="1687"/>
        </w:tabs>
        <w:kinsoku w:val="0"/>
        <w:overflowPunct w:val="0"/>
        <w:ind w:right="531" w:firstLine="0"/>
      </w:pPr>
      <w:r>
        <w:t>the subcontractor is a partnership and individuals of both the following kinds perform the work for which the wages are paid or</w:t>
      </w:r>
      <w:r>
        <w:rPr>
          <w:spacing w:val="-23"/>
        </w:rPr>
        <w:t xml:space="preserve"> </w:t>
      </w:r>
      <w:r>
        <w:t>payable:</w:t>
      </w:r>
    </w:p>
    <w:p w:rsidR="00A73C12" w:rsidRDefault="00A73C12">
      <w:pPr>
        <w:pStyle w:val="ListParagraph"/>
        <w:numPr>
          <w:ilvl w:val="2"/>
          <w:numId w:val="1"/>
        </w:numPr>
        <w:tabs>
          <w:tab w:val="left" w:pos="1942"/>
        </w:tabs>
        <w:kinsoku w:val="0"/>
        <w:overflowPunct w:val="0"/>
      </w:pPr>
      <w:r>
        <w:t>a</w:t>
      </w:r>
      <w:r>
        <w:rPr>
          <w:spacing w:val="-3"/>
        </w:rPr>
        <w:t xml:space="preserve"> </w:t>
      </w:r>
      <w:r>
        <w:t>partner;</w:t>
      </w:r>
    </w:p>
    <w:p w:rsidR="00A73C12" w:rsidRDefault="00A73C12">
      <w:pPr>
        <w:pStyle w:val="ListParagraph"/>
        <w:numPr>
          <w:ilvl w:val="2"/>
          <w:numId w:val="1"/>
        </w:numPr>
        <w:tabs>
          <w:tab w:val="left" w:pos="1997"/>
        </w:tabs>
        <w:kinsoku w:val="0"/>
        <w:overflowPunct w:val="0"/>
        <w:ind w:left="1996" w:hanging="310"/>
      </w:pPr>
      <w:r>
        <w:t>an employee of the</w:t>
      </w:r>
      <w:r>
        <w:rPr>
          <w:spacing w:val="-10"/>
        </w:rPr>
        <w:t xml:space="preserve"> </w:t>
      </w:r>
      <w:r>
        <w:t>partnership;</w:t>
      </w:r>
    </w:p>
    <w:p w:rsidR="00A73C12" w:rsidRDefault="00A73C12">
      <w:pPr>
        <w:pStyle w:val="ListParagraph"/>
        <w:numPr>
          <w:ilvl w:val="1"/>
          <w:numId w:val="1"/>
        </w:numPr>
        <w:tabs>
          <w:tab w:val="left" w:pos="1687"/>
        </w:tabs>
        <w:kinsoku w:val="0"/>
        <w:overflowPunct w:val="0"/>
        <w:ind w:right="362" w:firstLine="0"/>
      </w:pPr>
      <w:r>
        <w:t>the subcontractor is a sole trader and individuals of both of the</w:t>
      </w:r>
      <w:r>
        <w:rPr>
          <w:spacing w:val="-33"/>
        </w:rPr>
        <w:t xml:space="preserve"> </w:t>
      </w:r>
      <w:r>
        <w:t>following kinds perform the work for which the wages are paid or</w:t>
      </w:r>
      <w:r>
        <w:rPr>
          <w:spacing w:val="-22"/>
        </w:rPr>
        <w:t xml:space="preserve"> </w:t>
      </w:r>
      <w:r>
        <w:t>payable:</w:t>
      </w:r>
    </w:p>
    <w:p w:rsidR="00A73C12" w:rsidRDefault="00A73C12">
      <w:pPr>
        <w:pStyle w:val="ListParagraph"/>
        <w:numPr>
          <w:ilvl w:val="2"/>
          <w:numId w:val="1"/>
        </w:numPr>
        <w:tabs>
          <w:tab w:val="left" w:pos="1942"/>
        </w:tabs>
        <w:kinsoku w:val="0"/>
        <w:overflowPunct w:val="0"/>
      </w:pPr>
      <w:r>
        <w:t>the</w:t>
      </w:r>
      <w:r>
        <w:rPr>
          <w:spacing w:val="-8"/>
        </w:rPr>
        <w:t xml:space="preserve"> </w:t>
      </w:r>
      <w:r>
        <w:t>subcontractor;</w:t>
      </w:r>
    </w:p>
    <w:p w:rsidR="00A73C12" w:rsidRDefault="00A73C12">
      <w:pPr>
        <w:pStyle w:val="ListParagraph"/>
        <w:numPr>
          <w:ilvl w:val="2"/>
          <w:numId w:val="1"/>
        </w:numPr>
        <w:tabs>
          <w:tab w:val="left" w:pos="1997"/>
        </w:tabs>
        <w:kinsoku w:val="0"/>
        <w:overflowPunct w:val="0"/>
        <w:ind w:left="1996" w:hanging="310"/>
      </w:pPr>
      <w:r>
        <w:t>an employee of the</w:t>
      </w:r>
      <w:r>
        <w:rPr>
          <w:spacing w:val="-12"/>
        </w:rPr>
        <w:t xml:space="preserve"> </w:t>
      </w:r>
      <w:r>
        <w:t>subcontractor;</w:t>
      </w:r>
    </w:p>
    <w:p w:rsidR="00A73C12" w:rsidRDefault="00A73C12">
      <w:pPr>
        <w:pStyle w:val="ListParagraph"/>
        <w:numPr>
          <w:ilvl w:val="1"/>
          <w:numId w:val="1"/>
        </w:numPr>
        <w:tabs>
          <w:tab w:val="left" w:pos="1687"/>
        </w:tabs>
        <w:kinsoku w:val="0"/>
        <w:overflowPunct w:val="0"/>
        <w:spacing w:before="120"/>
        <w:ind w:right="481" w:firstLine="0"/>
      </w:pPr>
      <w:r>
        <w:t>the individuals who perform the work for which the wages are paid or payable together work for not more than 8 days in any month under a contract with the</w:t>
      </w:r>
      <w:r>
        <w:rPr>
          <w:spacing w:val="-2"/>
        </w:rPr>
        <w:t xml:space="preserve"> </w:t>
      </w:r>
      <w:r>
        <w:t>agent.</w:t>
      </w:r>
    </w:p>
    <w:p w:rsidR="00A73C12" w:rsidRDefault="00A73C12">
      <w:pPr>
        <w:pStyle w:val="ListParagraph"/>
        <w:numPr>
          <w:ilvl w:val="0"/>
          <w:numId w:val="1"/>
        </w:numPr>
        <w:tabs>
          <w:tab w:val="left" w:pos="967"/>
        </w:tabs>
        <w:kinsoku w:val="0"/>
        <w:overflowPunct w:val="0"/>
        <w:spacing w:before="122"/>
        <w:ind w:left="114" w:right="351" w:firstLine="0"/>
      </w:pPr>
      <w:r>
        <w:t>The exemption found at section 2.14 (1) (a) focuses on the provision of goods by the subcontractor, as opposed to labour services, when the wages constitute less than 50 per cent of the consideration paid for the total of the goods and services. This exemption would be applicable in many trade-based industries where the provision of goods may exceed the value of the consideration paid for the</w:t>
      </w:r>
      <w:r>
        <w:rPr>
          <w:spacing w:val="-32"/>
        </w:rPr>
        <w:t xml:space="preserve"> </w:t>
      </w:r>
      <w:r>
        <w:t>services.</w:t>
      </w:r>
    </w:p>
    <w:p w:rsidR="00A73C12" w:rsidRDefault="00A73C12">
      <w:pPr>
        <w:pStyle w:val="ListParagraph"/>
        <w:numPr>
          <w:ilvl w:val="0"/>
          <w:numId w:val="1"/>
        </w:numPr>
        <w:tabs>
          <w:tab w:val="left" w:pos="967"/>
        </w:tabs>
        <w:kinsoku w:val="0"/>
        <w:overflowPunct w:val="0"/>
        <w:ind w:left="114" w:right="317" w:firstLine="0"/>
      </w:pPr>
      <w:r>
        <w:t xml:space="preserve">Section 2.14 (1) (b) only applies when an employment agent has obtained the services of a subcontractor for a client, and those services are ordinarily provided by the subcontractor to the public generally, and are not of a kind ordinarily required </w:t>
      </w:r>
      <w:r>
        <w:rPr>
          <w:spacing w:val="1"/>
        </w:rPr>
        <w:t xml:space="preserve">or </w:t>
      </w:r>
      <w:r>
        <w:t>sourced by the employment agent for its clients. This exemption does not apply when the employment agent is receiving the services of the subcontractor</w:t>
      </w:r>
      <w:r>
        <w:rPr>
          <w:spacing w:val="-34"/>
        </w:rPr>
        <w:t xml:space="preserve"> </w:t>
      </w:r>
      <w:r>
        <w:t>itself.</w:t>
      </w:r>
    </w:p>
    <w:p w:rsidR="00A73C12" w:rsidRDefault="00A73C12">
      <w:pPr>
        <w:pStyle w:val="BodyText"/>
        <w:kinsoku w:val="0"/>
        <w:overflowPunct w:val="0"/>
        <w:ind w:left="966" w:right="184"/>
        <w:jc w:val="both"/>
      </w:pPr>
      <w:r>
        <w:t>a. For example, the exemption may apply if an employment agent usually sources IT subcontractors for its clients, but on one occasion sources a gardener for those same clients (and the gardener provides those services to the public generally).</w:t>
      </w:r>
    </w:p>
    <w:p w:rsidR="00A73C12" w:rsidRDefault="00A73C12">
      <w:pPr>
        <w:pStyle w:val="ListParagraph"/>
        <w:numPr>
          <w:ilvl w:val="0"/>
          <w:numId w:val="1"/>
        </w:numPr>
        <w:tabs>
          <w:tab w:val="left" w:pos="967"/>
        </w:tabs>
        <w:kinsoku w:val="0"/>
        <w:overflowPunct w:val="0"/>
        <w:ind w:left="114" w:right="336" w:firstLine="0"/>
      </w:pPr>
      <w:r>
        <w:t>The exemptions found at sections 2.14 (1) (c) (d) and (e) require two or more people</w:t>
      </w:r>
      <w:r>
        <w:rPr>
          <w:spacing w:val="-3"/>
        </w:rPr>
        <w:t xml:space="preserve"> </w:t>
      </w:r>
      <w:r>
        <w:t>to</w:t>
      </w:r>
      <w:r>
        <w:rPr>
          <w:spacing w:val="-4"/>
        </w:rPr>
        <w:t xml:space="preserve"> </w:t>
      </w:r>
      <w:r>
        <w:t>be</w:t>
      </w:r>
      <w:r>
        <w:rPr>
          <w:spacing w:val="-3"/>
        </w:rPr>
        <w:t xml:space="preserve"> </w:t>
      </w:r>
      <w:r>
        <w:t>engaged</w:t>
      </w:r>
      <w:r>
        <w:rPr>
          <w:spacing w:val="-3"/>
        </w:rPr>
        <w:t xml:space="preserve"> </w:t>
      </w:r>
      <w:r>
        <w:t>to</w:t>
      </w:r>
      <w:r>
        <w:rPr>
          <w:spacing w:val="-4"/>
        </w:rPr>
        <w:t xml:space="preserve"> </w:t>
      </w:r>
      <w:r>
        <w:t>perform</w:t>
      </w:r>
      <w:r>
        <w:rPr>
          <w:spacing w:val="-3"/>
        </w:rPr>
        <w:t xml:space="preserve"> </w:t>
      </w:r>
      <w:r>
        <w:t>the</w:t>
      </w:r>
      <w:r>
        <w:rPr>
          <w:spacing w:val="-4"/>
        </w:rPr>
        <w:t xml:space="preserve"> </w:t>
      </w:r>
      <w:r>
        <w:t>work</w:t>
      </w:r>
      <w:r>
        <w:rPr>
          <w:spacing w:val="-3"/>
        </w:rPr>
        <w:t xml:space="preserve"> </w:t>
      </w:r>
      <w:r>
        <w:t>for</w:t>
      </w:r>
      <w:r>
        <w:rPr>
          <w:spacing w:val="-1"/>
        </w:rPr>
        <w:t xml:space="preserve"> </w:t>
      </w:r>
      <w:r>
        <w:t>the</w:t>
      </w:r>
      <w:r>
        <w:rPr>
          <w:spacing w:val="-4"/>
        </w:rPr>
        <w:t xml:space="preserve"> </w:t>
      </w:r>
      <w:r>
        <w:t>client,</w:t>
      </w:r>
      <w:r>
        <w:rPr>
          <w:spacing w:val="-4"/>
        </w:rPr>
        <w:t xml:space="preserve"> </w:t>
      </w:r>
      <w:r>
        <w:t>under</w:t>
      </w:r>
      <w:r>
        <w:rPr>
          <w:spacing w:val="-1"/>
        </w:rPr>
        <w:t xml:space="preserve"> </w:t>
      </w:r>
      <w:r>
        <w:t>the</w:t>
      </w:r>
      <w:r>
        <w:rPr>
          <w:spacing w:val="-4"/>
        </w:rPr>
        <w:t xml:space="preserve"> </w:t>
      </w:r>
      <w:r>
        <w:t>conditions</w:t>
      </w:r>
      <w:r>
        <w:rPr>
          <w:spacing w:val="-2"/>
        </w:rPr>
        <w:t xml:space="preserve"> </w:t>
      </w:r>
      <w:r>
        <w:t>prescribed by those sections. If a service contract engages only a single person, these exemption categories will not apply. Where a contractor is a body corporate, partnership or</w:t>
      </w:r>
      <w:r>
        <w:rPr>
          <w:spacing w:val="-31"/>
        </w:rPr>
        <w:t xml:space="preserve"> </w:t>
      </w:r>
      <w:r>
        <w:t>sole</w:t>
      </w:r>
    </w:p>
    <w:p w:rsidR="00A73C12" w:rsidRDefault="00A73C12">
      <w:pPr>
        <w:pStyle w:val="ListParagraph"/>
        <w:numPr>
          <w:ilvl w:val="0"/>
          <w:numId w:val="1"/>
        </w:numPr>
        <w:tabs>
          <w:tab w:val="left" w:pos="967"/>
        </w:tabs>
        <w:kinsoku w:val="0"/>
        <w:overflowPunct w:val="0"/>
        <w:ind w:left="114" w:right="336" w:firstLine="0"/>
        <w:sectPr w:rsidR="00A73C12">
          <w:footerReference w:type="default" r:id="rId14"/>
          <w:pgSz w:w="11900" w:h="16850"/>
          <w:pgMar w:top="1380" w:right="1580" w:bottom="1080" w:left="1160" w:header="0" w:footer="883" w:gutter="0"/>
          <w:pgNumType w:start="2"/>
          <w:cols w:space="720" w:equalWidth="0">
            <w:col w:w="9160"/>
          </w:cols>
          <w:noEndnote/>
        </w:sectPr>
      </w:pPr>
    </w:p>
    <w:p w:rsidR="00A73C12" w:rsidRDefault="00A73C12">
      <w:pPr>
        <w:pStyle w:val="BodyText"/>
        <w:kinsoku w:val="0"/>
        <w:overflowPunct w:val="0"/>
        <w:spacing w:before="37"/>
        <w:ind w:right="301"/>
      </w:pPr>
      <w:r>
        <w:lastRenderedPageBreak/>
        <w:t>trader and has two people working on a single contract, one of whom is the employee of the business, the payroll tax exemptions will apply.</w:t>
      </w:r>
    </w:p>
    <w:p w:rsidR="00A73C12" w:rsidRDefault="00A73C12">
      <w:pPr>
        <w:pStyle w:val="BodyText"/>
        <w:kinsoku w:val="0"/>
        <w:overflowPunct w:val="0"/>
        <w:ind w:left="966" w:right="301"/>
      </w:pPr>
      <w:r>
        <w:t xml:space="preserve">a. These exemptions can only be accessed if the employment agent engages the subcontractors under </w:t>
      </w:r>
      <w:r>
        <w:rPr>
          <w:u w:val="single" w:color="000000"/>
        </w:rPr>
        <w:t>one</w:t>
      </w:r>
      <w:r>
        <w:t xml:space="preserve"> contract. If each contractor is engaged under separate contracts (for example, the director under one contract and the employee under another), the exemptions do not apply as the legislative conditions for the exemption of the wages have not been met.</w:t>
      </w:r>
    </w:p>
    <w:p w:rsidR="00A73C12" w:rsidRDefault="00A73C12">
      <w:pPr>
        <w:pStyle w:val="ListParagraph"/>
        <w:numPr>
          <w:ilvl w:val="0"/>
          <w:numId w:val="1"/>
        </w:numPr>
        <w:tabs>
          <w:tab w:val="left" w:pos="967"/>
        </w:tabs>
        <w:kinsoku w:val="0"/>
        <w:overflowPunct w:val="0"/>
        <w:ind w:left="114" w:right="410" w:firstLine="0"/>
      </w:pPr>
      <w:r>
        <w:t>The details of a contract as completed between the company and the client (for example, in relation to budgets, assignment of tasks or rectification of unsatisfactory deliverables)</w:t>
      </w:r>
      <w:r>
        <w:rPr>
          <w:spacing w:val="-4"/>
        </w:rPr>
        <w:t xml:space="preserve"> </w:t>
      </w:r>
      <w:r>
        <w:t>is</w:t>
      </w:r>
      <w:r>
        <w:rPr>
          <w:spacing w:val="-4"/>
        </w:rPr>
        <w:t xml:space="preserve"> </w:t>
      </w:r>
      <w:r>
        <w:t>not</w:t>
      </w:r>
      <w:r>
        <w:rPr>
          <w:spacing w:val="-4"/>
        </w:rPr>
        <w:t xml:space="preserve"> </w:t>
      </w:r>
      <w:r>
        <w:t>relevant</w:t>
      </w:r>
      <w:r>
        <w:rPr>
          <w:spacing w:val="-4"/>
        </w:rPr>
        <w:t xml:space="preserve"> </w:t>
      </w:r>
      <w:r>
        <w:t>for</w:t>
      </w:r>
      <w:r>
        <w:rPr>
          <w:spacing w:val="-4"/>
        </w:rPr>
        <w:t xml:space="preserve"> </w:t>
      </w:r>
      <w:r>
        <w:t>the</w:t>
      </w:r>
      <w:r>
        <w:rPr>
          <w:spacing w:val="-4"/>
        </w:rPr>
        <w:t xml:space="preserve"> </w:t>
      </w:r>
      <w:r>
        <w:t>purposes</w:t>
      </w:r>
      <w:r>
        <w:rPr>
          <w:spacing w:val="-4"/>
        </w:rPr>
        <w:t xml:space="preserve"> </w:t>
      </w:r>
      <w:r>
        <w:t>of</w:t>
      </w:r>
      <w:r>
        <w:rPr>
          <w:spacing w:val="-4"/>
        </w:rPr>
        <w:t xml:space="preserve"> </w:t>
      </w:r>
      <w:r>
        <w:t>the</w:t>
      </w:r>
      <w:r>
        <w:rPr>
          <w:spacing w:val="-2"/>
        </w:rPr>
        <w:t xml:space="preserve"> </w:t>
      </w:r>
      <w:r>
        <w:t>exemptions</w:t>
      </w:r>
      <w:r>
        <w:rPr>
          <w:spacing w:val="-3"/>
        </w:rPr>
        <w:t xml:space="preserve"> </w:t>
      </w:r>
      <w:r>
        <w:t>at</w:t>
      </w:r>
      <w:r>
        <w:rPr>
          <w:spacing w:val="-2"/>
        </w:rPr>
        <w:t xml:space="preserve"> </w:t>
      </w:r>
      <w:r>
        <w:t>section</w:t>
      </w:r>
      <w:r>
        <w:rPr>
          <w:spacing w:val="-3"/>
        </w:rPr>
        <w:t xml:space="preserve"> </w:t>
      </w:r>
      <w:r>
        <w:t>2.14</w:t>
      </w:r>
      <w:r>
        <w:rPr>
          <w:spacing w:val="-2"/>
        </w:rPr>
        <w:t xml:space="preserve"> </w:t>
      </w:r>
      <w:r>
        <w:t>(1)</w:t>
      </w:r>
      <w:r>
        <w:rPr>
          <w:spacing w:val="-4"/>
        </w:rPr>
        <w:t xml:space="preserve"> </w:t>
      </w:r>
      <w:r>
        <w:t>(c)</w:t>
      </w:r>
      <w:r>
        <w:rPr>
          <w:spacing w:val="-4"/>
        </w:rPr>
        <w:t xml:space="preserve"> </w:t>
      </w:r>
      <w:r>
        <w:t xml:space="preserve">(d) and (e); rather, the director, partner or sole trader and one or more of their employees must perform the work under </w:t>
      </w:r>
      <w:r>
        <w:rPr>
          <w:u w:val="single" w:color="000000"/>
        </w:rPr>
        <w:t>one</w:t>
      </w:r>
      <w:r>
        <w:t xml:space="preserve"> contract between the employment agent and the contractor.</w:t>
      </w:r>
    </w:p>
    <w:p w:rsidR="00A73C12" w:rsidRDefault="00A73C12">
      <w:pPr>
        <w:pStyle w:val="ListParagraph"/>
        <w:numPr>
          <w:ilvl w:val="0"/>
          <w:numId w:val="1"/>
        </w:numPr>
        <w:tabs>
          <w:tab w:val="left" w:pos="967"/>
        </w:tabs>
        <w:kinsoku w:val="0"/>
        <w:overflowPunct w:val="0"/>
        <w:ind w:left="966"/>
      </w:pPr>
      <w:r>
        <w:t>For the exemption at section 2.14 (1) (f), a calendar day on which work</w:t>
      </w:r>
      <w:r>
        <w:rPr>
          <w:spacing w:val="-29"/>
        </w:rPr>
        <w:t xml:space="preserve"> </w:t>
      </w:r>
      <w:r>
        <w:t>is</w:t>
      </w:r>
    </w:p>
    <w:p w:rsidR="00A73C12" w:rsidRDefault="00A73C12">
      <w:pPr>
        <w:pStyle w:val="BodyText"/>
        <w:kinsoku w:val="0"/>
        <w:overflowPunct w:val="0"/>
        <w:spacing w:before="0"/>
        <w:rPr>
          <w:color w:val="000000"/>
        </w:rPr>
      </w:pPr>
      <w:r>
        <w:t xml:space="preserve">performed under a contract is considered a ‘day’ in determining the number of days on which work is performed by a contractor, regardless of the amount of time worked on that day. Further information on this exemption is provided in Revenue Circular </w:t>
      </w:r>
      <w:hyperlink r:id="rId15" w:history="1">
        <w:r>
          <w:rPr>
            <w:color w:val="0000FF"/>
            <w:u w:val="single"/>
          </w:rPr>
          <w:t>PTA014</w:t>
        </w:r>
      </w:hyperlink>
      <w:r>
        <w:rPr>
          <w:color w:val="000000"/>
        </w:rPr>
        <w:t>.</w:t>
      </w:r>
    </w:p>
    <w:p w:rsidR="00A73C12" w:rsidRDefault="00A73C12">
      <w:pPr>
        <w:pStyle w:val="Heading2"/>
        <w:kinsoku w:val="0"/>
        <w:overflowPunct w:val="0"/>
        <w:spacing w:before="121"/>
      </w:pPr>
      <w:r>
        <w:t>Treatment of Wages</w:t>
      </w:r>
    </w:p>
    <w:p w:rsidR="00A73C12" w:rsidRDefault="00A73C12">
      <w:pPr>
        <w:pStyle w:val="ListParagraph"/>
        <w:numPr>
          <w:ilvl w:val="0"/>
          <w:numId w:val="1"/>
        </w:numPr>
        <w:tabs>
          <w:tab w:val="left" w:pos="967"/>
        </w:tabs>
        <w:kinsoku w:val="0"/>
        <w:overflowPunct w:val="0"/>
        <w:ind w:left="114" w:right="283" w:firstLine="0"/>
      </w:pPr>
      <w:r>
        <w:t>Sections 37 to 40 of the Act determine the treatment of wages in the hands of</w:t>
      </w:r>
      <w:r>
        <w:rPr>
          <w:spacing w:val="-38"/>
        </w:rPr>
        <w:t xml:space="preserve"> </w:t>
      </w:r>
      <w:r>
        <w:t>an employment agent. Employment agents are required, as the employer, to pay payroll tax on employment agency contracts (if liable). The person who performs the work under an employment agency contract (the subcontractor) is taken to be an</w:t>
      </w:r>
      <w:r>
        <w:rPr>
          <w:spacing w:val="-26"/>
        </w:rPr>
        <w:t xml:space="preserve"> </w:t>
      </w:r>
      <w:r>
        <w:t>employee.</w:t>
      </w:r>
    </w:p>
    <w:p w:rsidR="00A73C12" w:rsidRDefault="00A73C12">
      <w:pPr>
        <w:pStyle w:val="ListParagraph"/>
        <w:numPr>
          <w:ilvl w:val="0"/>
          <w:numId w:val="1"/>
        </w:numPr>
        <w:tabs>
          <w:tab w:val="left" w:pos="967"/>
        </w:tabs>
        <w:kinsoku w:val="0"/>
        <w:overflowPunct w:val="0"/>
        <w:spacing w:before="122"/>
        <w:ind w:left="114" w:right="126" w:firstLine="0"/>
      </w:pPr>
      <w:r>
        <w:t>The structure of the employment contract between the relevant parties will depend on the terms and conditions of individual contracts and the commercial arrangements in place. Should an employment agent choose to recover the payroll tax liability from a contractor, this is an internal commercial decision made at the discretion of the employment agent and any dispute about this decision must be dealt with between the parties involved (the ACT Revenue Office has no involvement in such a</w:t>
      </w:r>
      <w:r>
        <w:rPr>
          <w:spacing w:val="-30"/>
        </w:rPr>
        <w:t xml:space="preserve"> </w:t>
      </w:r>
      <w:r>
        <w:t>decision).</w:t>
      </w:r>
    </w:p>
    <w:p w:rsidR="00A73C12" w:rsidRDefault="00A73C12">
      <w:pPr>
        <w:pStyle w:val="ListParagraph"/>
        <w:numPr>
          <w:ilvl w:val="0"/>
          <w:numId w:val="1"/>
        </w:numPr>
        <w:tabs>
          <w:tab w:val="left" w:pos="967"/>
        </w:tabs>
        <w:kinsoku w:val="0"/>
        <w:overflowPunct w:val="0"/>
        <w:spacing w:before="120"/>
        <w:ind w:left="114" w:right="336" w:firstLine="0"/>
      </w:pPr>
      <w:r>
        <w:t xml:space="preserve">Wages paid by an employment agent under an employment agency contract include </w:t>
      </w:r>
      <w:r>
        <w:rPr>
          <w:u w:val="single"/>
        </w:rPr>
        <w:t>any</w:t>
      </w:r>
      <w:r>
        <w:t xml:space="preserve"> amount paid or payable to the service provider in relation to the provision of services in relation to the contract. The whole amount paid to a subcontractor by an agency is liable to payroll tax. The provisions of the Act should be relied upon to establish what constitutes taxable wages in the hands of the employment agent (the</w:t>
      </w:r>
      <w:r>
        <w:rPr>
          <w:spacing w:val="-36"/>
        </w:rPr>
        <w:t xml:space="preserve"> </w:t>
      </w:r>
      <w:r>
        <w:t>employer).</w:t>
      </w:r>
    </w:p>
    <w:p w:rsidR="00A73C12" w:rsidRDefault="00A73C12">
      <w:pPr>
        <w:pStyle w:val="BodyText"/>
        <w:kinsoku w:val="0"/>
        <w:overflowPunct w:val="0"/>
        <w:spacing w:before="120"/>
        <w:ind w:left="966" w:right="301"/>
      </w:pPr>
      <w:r>
        <w:t>a. Additional allowances under a contract between the agent and the subcontractor (for example, on-call allowances or after-hours additional payments) would be subject to payroll tax as they form part of the service provided by the subcontractor.</w:t>
      </w:r>
    </w:p>
    <w:p w:rsidR="00A73C12" w:rsidRDefault="00A73C12">
      <w:pPr>
        <w:pStyle w:val="ListParagraph"/>
        <w:numPr>
          <w:ilvl w:val="0"/>
          <w:numId w:val="1"/>
        </w:numPr>
        <w:tabs>
          <w:tab w:val="left" w:pos="967"/>
        </w:tabs>
        <w:kinsoku w:val="0"/>
        <w:overflowPunct w:val="0"/>
        <w:spacing w:before="120"/>
        <w:ind w:left="114" w:right="305" w:firstLine="0"/>
        <w:rPr>
          <w:color w:val="000000"/>
        </w:rPr>
      </w:pPr>
      <w:r>
        <w:t>In the event a subcontractor is performing work across a number of jurisdictions, such as the ACT and NSW, payroll tax must be paid by the employment agent in accordance with the nexus provisions (detailed in Revenue Circular</w:t>
      </w:r>
      <w:r>
        <w:rPr>
          <w:color w:val="0000FF"/>
        </w:rPr>
        <w:t xml:space="preserve"> </w:t>
      </w:r>
      <w:hyperlink r:id="rId16" w:history="1">
        <w:r>
          <w:rPr>
            <w:color w:val="0000FF"/>
            <w:u w:val="single"/>
          </w:rPr>
          <w:t>PTA039</w:t>
        </w:r>
      </w:hyperlink>
      <w:r>
        <w:rPr>
          <w:color w:val="000000"/>
        </w:rPr>
        <w:t>), unless the wages are exempt under the remaining exemptions at schedule 2, part 2.3 of the</w:t>
      </w:r>
      <w:r>
        <w:rPr>
          <w:color w:val="000000"/>
          <w:spacing w:val="-19"/>
        </w:rPr>
        <w:t xml:space="preserve"> </w:t>
      </w:r>
      <w:r>
        <w:rPr>
          <w:color w:val="000000"/>
        </w:rPr>
        <w:t>Act.</w:t>
      </w:r>
    </w:p>
    <w:p w:rsidR="00A73C12" w:rsidRDefault="00A73C12">
      <w:pPr>
        <w:pStyle w:val="ListParagraph"/>
        <w:numPr>
          <w:ilvl w:val="0"/>
          <w:numId w:val="1"/>
        </w:numPr>
        <w:tabs>
          <w:tab w:val="left" w:pos="967"/>
        </w:tabs>
        <w:kinsoku w:val="0"/>
        <w:overflowPunct w:val="0"/>
        <w:spacing w:before="120"/>
        <w:ind w:left="114" w:right="305" w:firstLine="0"/>
        <w:rPr>
          <w:color w:val="000000"/>
        </w:rPr>
        <w:sectPr w:rsidR="00A73C12">
          <w:pgSz w:w="11900" w:h="16850"/>
          <w:pgMar w:top="1380" w:right="1580" w:bottom="1080" w:left="1160" w:header="0" w:footer="883" w:gutter="0"/>
          <w:cols w:space="720"/>
          <w:noEndnote/>
        </w:sectPr>
      </w:pPr>
    </w:p>
    <w:p w:rsidR="00A73C12" w:rsidRDefault="00A73C12">
      <w:pPr>
        <w:pStyle w:val="Heading2"/>
        <w:kinsoku w:val="0"/>
        <w:overflowPunct w:val="0"/>
        <w:spacing w:before="17"/>
      </w:pPr>
      <w:r>
        <w:lastRenderedPageBreak/>
        <w:t>Double Taxation</w:t>
      </w:r>
    </w:p>
    <w:p w:rsidR="00A73C12" w:rsidRDefault="00A73C12">
      <w:pPr>
        <w:pStyle w:val="ListParagraph"/>
        <w:numPr>
          <w:ilvl w:val="0"/>
          <w:numId w:val="1"/>
        </w:numPr>
        <w:tabs>
          <w:tab w:val="left" w:pos="967"/>
        </w:tabs>
        <w:kinsoku w:val="0"/>
        <w:overflowPunct w:val="0"/>
        <w:ind w:left="114" w:right="163" w:firstLine="0"/>
      </w:pPr>
      <w:r>
        <w:t>Section 41 of the Act provides that if payroll tax is paid by the employment agent, then no-one else is liable to payroll tax in relation to the payment of wages. Employment agents are thus required to include the payments made to service providers in their payroll tax calculations. Consequently, any payments for the provision of an employee of the service provider to an employment agent would not need to be included in the service provider’s determination of their own liability for payroll tax (if</w:t>
      </w:r>
      <w:r>
        <w:rPr>
          <w:spacing w:val="-27"/>
        </w:rPr>
        <w:t xml:space="preserve"> </w:t>
      </w:r>
      <w:r>
        <w:t>any).</w:t>
      </w:r>
    </w:p>
    <w:p w:rsidR="00A73C12" w:rsidRDefault="00A73C12">
      <w:pPr>
        <w:pStyle w:val="Heading2"/>
        <w:kinsoku w:val="0"/>
        <w:overflowPunct w:val="0"/>
      </w:pPr>
      <w:r>
        <w:t>Chain of On-Hire</w:t>
      </w:r>
    </w:p>
    <w:p w:rsidR="00A73C12" w:rsidRPr="00FD1501" w:rsidRDefault="00FD1501" w:rsidP="00FD1501">
      <w:pPr>
        <w:numPr>
          <w:ilvl w:val="0"/>
          <w:numId w:val="1"/>
        </w:numPr>
        <w:ind w:left="142" w:firstLine="0"/>
      </w:pPr>
      <w:r>
        <w:t xml:space="preserve">  </w:t>
      </w:r>
      <w:r w:rsidR="00A73C12">
        <w:t>A chain of on-hire occurs when an employment agent on-hires a service provider to another employment agent who in turn on-hires the service provider to its client. Revenue Circular</w:t>
      </w:r>
      <w:r w:rsidR="00A73C12">
        <w:rPr>
          <w:color w:val="0000FF"/>
        </w:rPr>
        <w:t xml:space="preserve"> </w:t>
      </w:r>
      <w:hyperlink r:id="rId17" w:history="1">
        <w:r w:rsidR="00A73C12">
          <w:rPr>
            <w:color w:val="0000FF"/>
            <w:u w:val="single"/>
          </w:rPr>
          <w:t>PTA027</w:t>
        </w:r>
        <w:r w:rsidR="00A73C12">
          <w:rPr>
            <w:color w:val="0000FF"/>
          </w:rPr>
          <w:t xml:space="preserve"> </w:t>
        </w:r>
      </w:hyperlink>
      <w:r w:rsidR="00A73C12">
        <w:rPr>
          <w:color w:val="000000"/>
        </w:rPr>
        <w:t xml:space="preserve">and the associated declaration form </w:t>
      </w:r>
      <w:r w:rsidR="001539D4">
        <w:rPr>
          <w:color w:val="000000"/>
        </w:rPr>
        <w:t>(</w:t>
      </w:r>
      <w:hyperlink r:id="rId18" w:history="1">
        <w:r w:rsidRPr="009561C3">
          <w:rPr>
            <w:rStyle w:val="Hyperlink"/>
          </w:rPr>
          <w:t>PTF027</w:t>
        </w:r>
      </w:hyperlink>
      <w:r w:rsidR="001539D4">
        <w:t>)</w:t>
      </w:r>
      <w:r>
        <w:t xml:space="preserve"> </w:t>
      </w:r>
      <w:r w:rsidR="00A73C12">
        <w:rPr>
          <w:color w:val="000000"/>
        </w:rPr>
        <w:t>have been adopted in the ACT to address any double taxation issues that may arise from the chain of on-hire scenario.</w:t>
      </w:r>
    </w:p>
    <w:p w:rsidR="00A73C12" w:rsidRDefault="00A73C12">
      <w:pPr>
        <w:pStyle w:val="ListParagraph"/>
        <w:numPr>
          <w:ilvl w:val="0"/>
          <w:numId w:val="1"/>
        </w:numPr>
        <w:tabs>
          <w:tab w:val="left" w:pos="967"/>
        </w:tabs>
        <w:kinsoku w:val="0"/>
        <w:overflowPunct w:val="0"/>
        <w:ind w:left="114" w:right="184" w:firstLine="0"/>
        <w:rPr>
          <w:color w:val="000000"/>
        </w:rPr>
      </w:pPr>
      <w:r>
        <w:t>The chain of on-hire declaration form provides fields for all the relevant information required to understand the chain of on-hire scenario, whether there are two employment agents or more. The ACT Revenue Office will accept</w:t>
      </w:r>
      <w:r>
        <w:rPr>
          <w:color w:val="0000FF"/>
        </w:rPr>
        <w:t xml:space="preserve"> </w:t>
      </w:r>
      <w:hyperlink r:id="rId19" w:history="1">
        <w:r w:rsidR="0011330F" w:rsidRPr="009561C3">
          <w:rPr>
            <w:rStyle w:val="Hyperlink"/>
          </w:rPr>
          <w:t>PTF027</w:t>
        </w:r>
      </w:hyperlink>
      <w:r w:rsidR="0011330F">
        <w:t xml:space="preserve"> </w:t>
      </w:r>
      <w:r w:rsidR="0011330F">
        <w:rPr>
          <w:color w:val="000000"/>
        </w:rPr>
        <w:t xml:space="preserve"> </w:t>
      </w:r>
      <w:r>
        <w:rPr>
          <w:color w:val="000000"/>
        </w:rPr>
        <w:t>as completed by and between, for example, Agents 2 and 3 as appropriate, and again by Agents 1 and 2 as appropriate. The form can be amended to reflect the number of agents in the chain, as long as the liability (if any) to payroll tax and the on-hire chain can be clearly discerned and can be provided for compliance</w:t>
      </w:r>
      <w:r>
        <w:rPr>
          <w:color w:val="000000"/>
          <w:spacing w:val="-16"/>
        </w:rPr>
        <w:t xml:space="preserve"> </w:t>
      </w:r>
      <w:r>
        <w:rPr>
          <w:color w:val="000000"/>
        </w:rPr>
        <w:t>purposes.</w:t>
      </w:r>
    </w:p>
    <w:p w:rsidR="00A73C12" w:rsidRDefault="00A73C12">
      <w:pPr>
        <w:pStyle w:val="Heading2"/>
        <w:kinsoku w:val="0"/>
        <w:overflowPunct w:val="0"/>
      </w:pPr>
      <w:r>
        <w:t>Removal of the ‘genuine employer’ Exemption</w:t>
      </w:r>
    </w:p>
    <w:p w:rsidR="00A73C12" w:rsidRDefault="00A73C12">
      <w:pPr>
        <w:pStyle w:val="ListParagraph"/>
        <w:numPr>
          <w:ilvl w:val="0"/>
          <w:numId w:val="1"/>
        </w:numPr>
        <w:tabs>
          <w:tab w:val="left" w:pos="967"/>
        </w:tabs>
        <w:kinsoku w:val="0"/>
        <w:overflowPunct w:val="0"/>
        <w:ind w:left="114" w:right="298" w:firstLine="0"/>
        <w:rPr>
          <w:color w:val="000000"/>
        </w:rPr>
      </w:pPr>
      <w:r>
        <w:t>Effective 1 January 2015, the ‘genuine employer’ exemption for wages paid to subcontractors by employment agents was removed from the Act (formally at schedule</w:t>
      </w:r>
      <w:r>
        <w:rPr>
          <w:spacing w:val="-33"/>
        </w:rPr>
        <w:t xml:space="preserve"> </w:t>
      </w:r>
      <w:r>
        <w:t>2, part 2.3 section 2.14 (1) (g) of the Act). Please refer to previous Revenue Circulars</w:t>
      </w:r>
      <w:r>
        <w:rPr>
          <w:color w:val="0000FF"/>
          <w:u w:val="single"/>
        </w:rPr>
        <w:t xml:space="preserve"> </w:t>
      </w:r>
      <w:hyperlink r:id="rId20" w:history="1">
        <w:r>
          <w:rPr>
            <w:color w:val="0000FF"/>
            <w:u w:val="single"/>
          </w:rPr>
          <w:t>PTA074.1</w:t>
        </w:r>
        <w:r>
          <w:rPr>
            <w:color w:val="0000FF"/>
          </w:rPr>
          <w:t xml:space="preserve"> </w:t>
        </w:r>
      </w:hyperlink>
      <w:r>
        <w:rPr>
          <w:color w:val="000000"/>
        </w:rPr>
        <w:t>and</w:t>
      </w:r>
      <w:hyperlink r:id="rId21" w:history="1">
        <w:r>
          <w:rPr>
            <w:color w:val="0000FF"/>
          </w:rPr>
          <w:t xml:space="preserve"> </w:t>
        </w:r>
        <w:r>
          <w:rPr>
            <w:color w:val="0000FF"/>
            <w:u w:val="single"/>
          </w:rPr>
          <w:t>PTA074.2</w:t>
        </w:r>
        <w:r>
          <w:rPr>
            <w:color w:val="0000FF"/>
          </w:rPr>
          <w:t xml:space="preserve"> </w:t>
        </w:r>
      </w:hyperlink>
      <w:r>
        <w:rPr>
          <w:color w:val="000000"/>
        </w:rPr>
        <w:t>for information on the treatment of the ‘genuine employer’ exemption.</w:t>
      </w:r>
    </w:p>
    <w:p w:rsidR="00A73C12" w:rsidRDefault="00A73C12">
      <w:pPr>
        <w:pStyle w:val="ListParagraph"/>
        <w:numPr>
          <w:ilvl w:val="0"/>
          <w:numId w:val="1"/>
        </w:numPr>
        <w:tabs>
          <w:tab w:val="left" w:pos="967"/>
        </w:tabs>
        <w:kinsoku w:val="0"/>
        <w:overflowPunct w:val="0"/>
        <w:spacing w:before="120"/>
        <w:ind w:left="114" w:right="353" w:firstLine="0"/>
      </w:pPr>
      <w:r>
        <w:t>Any wages paid or payable by an employment agent to a subcontractor during January 2015 and in subsequent months will be subject to payroll tax in the hands of the employment agent, if any remaining employment agent exemptions do not apply, even</w:t>
      </w:r>
      <w:r>
        <w:rPr>
          <w:spacing w:val="-30"/>
        </w:rPr>
        <w:t xml:space="preserve"> </w:t>
      </w:r>
      <w:r>
        <w:t>if the work was performed prior to 1 January</w:t>
      </w:r>
      <w:r>
        <w:rPr>
          <w:spacing w:val="-13"/>
        </w:rPr>
        <w:t xml:space="preserve"> </w:t>
      </w:r>
      <w:r>
        <w:t>2015.</w:t>
      </w:r>
    </w:p>
    <w:p w:rsidR="00A73C12" w:rsidRDefault="00A73C12">
      <w:pPr>
        <w:pStyle w:val="ListParagraph"/>
        <w:numPr>
          <w:ilvl w:val="0"/>
          <w:numId w:val="1"/>
        </w:numPr>
        <w:tabs>
          <w:tab w:val="left" w:pos="967"/>
        </w:tabs>
        <w:kinsoku w:val="0"/>
        <w:overflowPunct w:val="0"/>
        <w:spacing w:before="120"/>
        <w:ind w:left="114" w:right="254" w:firstLine="0"/>
      </w:pPr>
      <w:r>
        <w:t>In relation to wages and the terms ‘paid’ or ‘payable’, paid is taken to mean the date when the payment for the wages is actually made (by whatever means); payable refers to the date when the wages were due for payment under the terms of the</w:t>
      </w:r>
      <w:r>
        <w:rPr>
          <w:spacing w:val="-37"/>
        </w:rPr>
        <w:t xml:space="preserve"> </w:t>
      </w:r>
      <w:r>
        <w:t>contract. The term ‘payable’ in the Act has no correlation to the dates when the work was performed.</w:t>
      </w:r>
    </w:p>
    <w:p w:rsidR="00A73C12" w:rsidRDefault="00A73C12">
      <w:pPr>
        <w:pStyle w:val="Heading2"/>
        <w:kinsoku w:val="0"/>
        <w:overflowPunct w:val="0"/>
        <w:spacing w:before="120"/>
      </w:pPr>
      <w:r>
        <w:t>Documentation for wages exempted under schedule 2 part 2.3</w:t>
      </w:r>
    </w:p>
    <w:p w:rsidR="00A73C12" w:rsidRDefault="00A73C12">
      <w:pPr>
        <w:pStyle w:val="ListParagraph"/>
        <w:numPr>
          <w:ilvl w:val="0"/>
          <w:numId w:val="1"/>
        </w:numPr>
        <w:tabs>
          <w:tab w:val="left" w:pos="967"/>
        </w:tabs>
        <w:kinsoku w:val="0"/>
        <w:overflowPunct w:val="0"/>
        <w:ind w:left="114" w:right="280" w:firstLine="0"/>
      </w:pPr>
      <w:r>
        <w:t>Payroll tax is a self-assessed tax. It is the employment agent's responsibility to determine the liability, or otherwise, of the arrangements made with their subcontractors under schedule 2, part</w:t>
      </w:r>
      <w:r>
        <w:rPr>
          <w:spacing w:val="-7"/>
        </w:rPr>
        <w:t xml:space="preserve"> </w:t>
      </w:r>
      <w:r>
        <w:t>2.3.</w:t>
      </w:r>
    </w:p>
    <w:p w:rsidR="00A73C12" w:rsidRDefault="00A73C12">
      <w:pPr>
        <w:pStyle w:val="ListParagraph"/>
        <w:numPr>
          <w:ilvl w:val="0"/>
          <w:numId w:val="1"/>
        </w:numPr>
        <w:tabs>
          <w:tab w:val="left" w:pos="967"/>
        </w:tabs>
        <w:kinsoku w:val="0"/>
        <w:overflowPunct w:val="0"/>
        <w:ind w:left="114" w:right="280" w:firstLine="0"/>
        <w:sectPr w:rsidR="00A73C12">
          <w:pgSz w:w="11900" w:h="16850"/>
          <w:pgMar w:top="1400" w:right="1580" w:bottom="1080" w:left="1160" w:header="0" w:footer="883" w:gutter="0"/>
          <w:cols w:space="720"/>
          <w:noEndnote/>
        </w:sectPr>
      </w:pPr>
    </w:p>
    <w:p w:rsidR="00A73C12" w:rsidRDefault="00A73C12">
      <w:pPr>
        <w:pStyle w:val="ListParagraph"/>
        <w:numPr>
          <w:ilvl w:val="0"/>
          <w:numId w:val="1"/>
        </w:numPr>
        <w:tabs>
          <w:tab w:val="left" w:pos="1027"/>
        </w:tabs>
        <w:kinsoku w:val="0"/>
        <w:overflowPunct w:val="0"/>
        <w:spacing w:before="37"/>
        <w:ind w:left="174" w:right="524" w:firstLine="0"/>
      </w:pPr>
      <w:r>
        <w:lastRenderedPageBreak/>
        <w:t>The employment agent must retain relevant documentation for exempt wages paid to subcontractors, such as the employment agency contract which identifies the subcontractors engaged to provide the service. Any taxation liabilities, deductions or exemptions must be supported by documentary evidence retained by the employment agent.</w:t>
      </w:r>
    </w:p>
    <w:p w:rsidR="00A73C12" w:rsidRDefault="00A73C12">
      <w:pPr>
        <w:pStyle w:val="BodyText"/>
        <w:kinsoku w:val="0"/>
        <w:overflowPunct w:val="0"/>
        <w:spacing w:before="9"/>
        <w:ind w:left="0"/>
        <w:rPr>
          <w:sz w:val="33"/>
          <w:szCs w:val="33"/>
        </w:rPr>
      </w:pPr>
    </w:p>
    <w:p w:rsidR="00A73C12" w:rsidRDefault="00A73C12">
      <w:pPr>
        <w:pStyle w:val="BodyText"/>
        <w:kinsoku w:val="0"/>
        <w:overflowPunct w:val="0"/>
        <w:spacing w:before="0"/>
        <w:ind w:left="174"/>
      </w:pPr>
      <w:r>
        <w:t>SIGNED</w:t>
      </w:r>
    </w:p>
    <w:p w:rsidR="00A73C12" w:rsidRDefault="00A73C12">
      <w:pPr>
        <w:pStyle w:val="BodyText"/>
        <w:kinsoku w:val="0"/>
        <w:overflowPunct w:val="0"/>
        <w:spacing w:before="11"/>
        <w:ind w:left="0"/>
        <w:rPr>
          <w:sz w:val="23"/>
          <w:szCs w:val="23"/>
        </w:rPr>
      </w:pPr>
    </w:p>
    <w:p w:rsidR="00A73C12" w:rsidRDefault="00A73C12">
      <w:pPr>
        <w:pStyle w:val="BodyText"/>
        <w:kinsoku w:val="0"/>
        <w:overflowPunct w:val="0"/>
        <w:spacing w:before="0"/>
        <w:ind w:left="174"/>
      </w:pPr>
      <w:r>
        <w:t>Kim Salisbury</w:t>
      </w:r>
    </w:p>
    <w:p w:rsidR="00A73C12" w:rsidRDefault="00A73C12">
      <w:pPr>
        <w:pStyle w:val="BodyText"/>
        <w:kinsoku w:val="0"/>
        <w:overflowPunct w:val="0"/>
        <w:spacing w:before="0" w:line="340" w:lineRule="auto"/>
        <w:ind w:left="174" w:right="5955"/>
      </w:pPr>
      <w:r>
        <w:t>Commissioner for ACT Revenue 3 February 2015</w:t>
      </w:r>
    </w:p>
    <w:p w:rsidR="00A73C12" w:rsidRDefault="00A73C12">
      <w:pPr>
        <w:pStyle w:val="BodyText"/>
        <w:kinsoku w:val="0"/>
        <w:overflowPunct w:val="0"/>
        <w:spacing w:before="7"/>
        <w:ind w:left="0"/>
        <w:rPr>
          <w:sz w:val="33"/>
          <w:szCs w:val="33"/>
        </w:rPr>
      </w:pPr>
    </w:p>
    <w:p w:rsidR="00A73C12" w:rsidRDefault="00A73C12">
      <w:pPr>
        <w:pStyle w:val="Heading2"/>
        <w:kinsoku w:val="0"/>
        <w:overflowPunct w:val="0"/>
        <w:spacing w:before="1"/>
        <w:ind w:left="174"/>
      </w:pPr>
      <w:r>
        <w:t>Revenue Office Contact Details</w:t>
      </w:r>
    </w:p>
    <w:p w:rsidR="00A73C12" w:rsidRDefault="00A73C12">
      <w:pPr>
        <w:pStyle w:val="BodyText"/>
        <w:kinsoku w:val="0"/>
        <w:overflowPunct w:val="0"/>
        <w:spacing w:before="10"/>
        <w:ind w:left="0"/>
        <w:rPr>
          <w:b/>
          <w:bCs/>
          <w:sz w:val="9"/>
          <w:szCs w:val="9"/>
        </w:rPr>
      </w:pPr>
    </w:p>
    <w:tbl>
      <w:tblPr>
        <w:tblW w:w="0" w:type="auto"/>
        <w:tblInd w:w="112" w:type="dxa"/>
        <w:tblLayout w:type="fixed"/>
        <w:tblCellMar>
          <w:left w:w="0" w:type="dxa"/>
          <w:right w:w="0" w:type="dxa"/>
        </w:tblCellMar>
        <w:tblLook w:val="0000"/>
      </w:tblPr>
      <w:tblGrid>
        <w:gridCol w:w="2613"/>
        <w:gridCol w:w="5571"/>
      </w:tblGrid>
      <w:tr w:rsidR="00A73C12" w:rsidRPr="001062C0">
        <w:trPr>
          <w:trHeight w:val="460"/>
        </w:trPr>
        <w:tc>
          <w:tcPr>
            <w:tcW w:w="2613"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8"/>
              <w:rPr>
                <w:b/>
                <w:bCs/>
                <w:sz w:val="18"/>
                <w:szCs w:val="18"/>
              </w:rPr>
            </w:pPr>
            <w:r w:rsidRPr="001062C0">
              <w:rPr>
                <w:b/>
                <w:bCs/>
                <w:sz w:val="18"/>
                <w:szCs w:val="18"/>
              </w:rPr>
              <w:t>Telephone</w:t>
            </w:r>
          </w:p>
        </w:tc>
        <w:tc>
          <w:tcPr>
            <w:tcW w:w="5571"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7"/>
              <w:rPr>
                <w:sz w:val="18"/>
                <w:szCs w:val="18"/>
              </w:rPr>
            </w:pPr>
            <w:r w:rsidRPr="001062C0">
              <w:rPr>
                <w:sz w:val="18"/>
                <w:szCs w:val="18"/>
              </w:rPr>
              <w:t>(02) 6207 0028</w:t>
            </w:r>
          </w:p>
        </w:tc>
      </w:tr>
      <w:tr w:rsidR="00A73C12" w:rsidRPr="001062C0">
        <w:trPr>
          <w:trHeight w:val="440"/>
        </w:trPr>
        <w:tc>
          <w:tcPr>
            <w:tcW w:w="2613"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8"/>
              <w:rPr>
                <w:b/>
                <w:bCs/>
                <w:sz w:val="18"/>
                <w:szCs w:val="18"/>
              </w:rPr>
            </w:pPr>
            <w:r w:rsidRPr="001062C0">
              <w:rPr>
                <w:b/>
                <w:bCs/>
                <w:sz w:val="18"/>
                <w:szCs w:val="18"/>
              </w:rPr>
              <w:t>Facsimile</w:t>
            </w:r>
          </w:p>
        </w:tc>
        <w:tc>
          <w:tcPr>
            <w:tcW w:w="5571"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7"/>
              <w:rPr>
                <w:sz w:val="18"/>
                <w:szCs w:val="18"/>
              </w:rPr>
            </w:pPr>
            <w:r w:rsidRPr="001062C0">
              <w:rPr>
                <w:sz w:val="18"/>
                <w:szCs w:val="18"/>
              </w:rPr>
              <w:t>(02) 6207 0026</w:t>
            </w:r>
          </w:p>
        </w:tc>
      </w:tr>
      <w:tr w:rsidR="00A73C12" w:rsidRPr="001062C0">
        <w:trPr>
          <w:trHeight w:val="880"/>
        </w:trPr>
        <w:tc>
          <w:tcPr>
            <w:tcW w:w="2613"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8"/>
              <w:rPr>
                <w:b/>
                <w:bCs/>
                <w:sz w:val="18"/>
                <w:szCs w:val="18"/>
              </w:rPr>
            </w:pPr>
            <w:r w:rsidRPr="001062C0">
              <w:rPr>
                <w:b/>
                <w:bCs/>
                <w:sz w:val="18"/>
                <w:szCs w:val="18"/>
              </w:rPr>
              <w:t>Street address</w:t>
            </w:r>
          </w:p>
        </w:tc>
        <w:tc>
          <w:tcPr>
            <w:tcW w:w="5571"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7"/>
              <w:rPr>
                <w:sz w:val="18"/>
                <w:szCs w:val="18"/>
              </w:rPr>
            </w:pPr>
            <w:r w:rsidRPr="001062C0">
              <w:rPr>
                <w:sz w:val="18"/>
                <w:szCs w:val="18"/>
              </w:rPr>
              <w:t>Ground floor, Canberra Nara Centre</w:t>
            </w:r>
          </w:p>
          <w:p w:rsidR="00A73C12" w:rsidRPr="001062C0" w:rsidRDefault="00A73C12">
            <w:pPr>
              <w:pStyle w:val="TableParagraph"/>
              <w:kinsoku w:val="0"/>
              <w:overflowPunct w:val="0"/>
              <w:spacing w:before="0"/>
              <w:ind w:left="97" w:right="1153"/>
              <w:rPr>
                <w:sz w:val="18"/>
                <w:szCs w:val="18"/>
              </w:rPr>
            </w:pPr>
            <w:r w:rsidRPr="001062C0">
              <w:rPr>
                <w:sz w:val="18"/>
                <w:szCs w:val="18"/>
              </w:rPr>
              <w:t>Corner of London Circuit and Constitution Avenue Canberra City</w:t>
            </w:r>
          </w:p>
        </w:tc>
      </w:tr>
      <w:tr w:rsidR="00A73C12" w:rsidRPr="001062C0">
        <w:trPr>
          <w:trHeight w:val="660"/>
        </w:trPr>
        <w:tc>
          <w:tcPr>
            <w:tcW w:w="2613"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8"/>
              <w:rPr>
                <w:b/>
                <w:bCs/>
                <w:sz w:val="18"/>
                <w:szCs w:val="18"/>
              </w:rPr>
            </w:pPr>
            <w:r w:rsidRPr="001062C0">
              <w:rPr>
                <w:b/>
                <w:bCs/>
                <w:sz w:val="18"/>
                <w:szCs w:val="18"/>
              </w:rPr>
              <w:t>Postal address</w:t>
            </w:r>
          </w:p>
        </w:tc>
        <w:tc>
          <w:tcPr>
            <w:tcW w:w="5571"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7"/>
              <w:rPr>
                <w:sz w:val="18"/>
                <w:szCs w:val="18"/>
              </w:rPr>
            </w:pPr>
            <w:r w:rsidRPr="001062C0">
              <w:rPr>
                <w:sz w:val="18"/>
                <w:szCs w:val="18"/>
              </w:rPr>
              <w:t>PO Box 293</w:t>
            </w:r>
          </w:p>
          <w:p w:rsidR="00A73C12" w:rsidRPr="001062C0" w:rsidRDefault="00A73C12">
            <w:pPr>
              <w:pStyle w:val="TableParagraph"/>
              <w:kinsoku w:val="0"/>
              <w:overflowPunct w:val="0"/>
              <w:spacing w:before="0"/>
              <w:ind w:left="97"/>
              <w:rPr>
                <w:sz w:val="18"/>
                <w:szCs w:val="18"/>
              </w:rPr>
            </w:pPr>
            <w:r w:rsidRPr="001062C0">
              <w:rPr>
                <w:sz w:val="18"/>
                <w:szCs w:val="18"/>
              </w:rPr>
              <w:t>Civic Square  ACT 2608</w:t>
            </w:r>
          </w:p>
        </w:tc>
      </w:tr>
      <w:tr w:rsidR="00A73C12" w:rsidRPr="001062C0">
        <w:trPr>
          <w:trHeight w:val="680"/>
        </w:trPr>
        <w:tc>
          <w:tcPr>
            <w:tcW w:w="2613"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8"/>
              <w:rPr>
                <w:b/>
                <w:bCs/>
                <w:sz w:val="18"/>
                <w:szCs w:val="18"/>
              </w:rPr>
            </w:pPr>
            <w:r w:rsidRPr="001062C0">
              <w:rPr>
                <w:b/>
                <w:bCs/>
                <w:sz w:val="18"/>
                <w:szCs w:val="18"/>
              </w:rPr>
              <w:t>Office hours</w:t>
            </w:r>
          </w:p>
        </w:tc>
        <w:tc>
          <w:tcPr>
            <w:tcW w:w="5571"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7" w:right="731"/>
              <w:rPr>
                <w:sz w:val="18"/>
                <w:szCs w:val="18"/>
              </w:rPr>
            </w:pPr>
            <w:r w:rsidRPr="001062C0">
              <w:rPr>
                <w:sz w:val="18"/>
                <w:szCs w:val="18"/>
              </w:rPr>
              <w:t>9:00 am to 5:00 pm Monday, Tuesday, Thursday and Friday 10:30 am to 5:00 pm Wednesday</w:t>
            </w:r>
          </w:p>
        </w:tc>
      </w:tr>
      <w:tr w:rsidR="00A73C12" w:rsidRPr="001062C0">
        <w:trPr>
          <w:trHeight w:val="460"/>
        </w:trPr>
        <w:tc>
          <w:tcPr>
            <w:tcW w:w="2613" w:type="dxa"/>
            <w:tcBorders>
              <w:top w:val="single" w:sz="8" w:space="0" w:color="999999"/>
              <w:left w:val="single" w:sz="8" w:space="0" w:color="999999"/>
              <w:bottom w:val="single" w:sz="8" w:space="0" w:color="999999"/>
              <w:right w:val="single" w:sz="8" w:space="0" w:color="999999"/>
            </w:tcBorders>
          </w:tcPr>
          <w:p w:rsidR="00A73C12" w:rsidRPr="001062C0" w:rsidRDefault="00A73C12">
            <w:pPr>
              <w:pStyle w:val="TableParagraph"/>
              <w:kinsoku w:val="0"/>
              <w:overflowPunct w:val="0"/>
              <w:spacing w:before="118"/>
              <w:ind w:left="98"/>
              <w:rPr>
                <w:b/>
                <w:bCs/>
                <w:sz w:val="18"/>
                <w:szCs w:val="18"/>
              </w:rPr>
            </w:pPr>
            <w:r w:rsidRPr="001062C0">
              <w:rPr>
                <w:b/>
                <w:bCs/>
                <w:sz w:val="18"/>
                <w:szCs w:val="18"/>
              </w:rPr>
              <w:t>Website</w:t>
            </w:r>
          </w:p>
        </w:tc>
        <w:tc>
          <w:tcPr>
            <w:tcW w:w="5571" w:type="dxa"/>
            <w:tcBorders>
              <w:top w:val="single" w:sz="8" w:space="0" w:color="999999"/>
              <w:left w:val="single" w:sz="8" w:space="0" w:color="999999"/>
              <w:bottom w:val="single" w:sz="8" w:space="0" w:color="999999"/>
              <w:right w:val="single" w:sz="8" w:space="0" w:color="999999"/>
            </w:tcBorders>
          </w:tcPr>
          <w:p w:rsidR="00A73C12" w:rsidRPr="001062C0" w:rsidRDefault="00480BE5">
            <w:pPr>
              <w:pStyle w:val="TableParagraph"/>
              <w:kinsoku w:val="0"/>
              <w:overflowPunct w:val="0"/>
              <w:spacing w:before="118"/>
              <w:ind w:left="97"/>
              <w:rPr>
                <w:sz w:val="18"/>
                <w:szCs w:val="18"/>
              </w:rPr>
            </w:pPr>
            <w:hyperlink r:id="rId22" w:history="1">
              <w:r w:rsidR="00A73C12" w:rsidRPr="001062C0">
                <w:rPr>
                  <w:sz w:val="18"/>
                  <w:szCs w:val="18"/>
                  <w:u w:val="single"/>
                </w:rPr>
                <w:t>www.revenue.act.gov.au</w:t>
              </w:r>
            </w:hyperlink>
          </w:p>
        </w:tc>
      </w:tr>
    </w:tbl>
    <w:p w:rsidR="00A73C12" w:rsidRDefault="00A73C12"/>
    <w:sectPr w:rsidR="00A73C12" w:rsidSect="0031161C">
      <w:pgSz w:w="11900" w:h="16850"/>
      <w:pgMar w:top="1380" w:right="1580" w:bottom="1080" w:left="1100" w:header="0" w:footer="883" w:gutter="0"/>
      <w:cols w:space="720" w:equalWidth="0">
        <w:col w:w="92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704" w:rsidRDefault="008E3704">
      <w:r>
        <w:separator/>
      </w:r>
    </w:p>
  </w:endnote>
  <w:endnote w:type="continuationSeparator" w:id="0">
    <w:p w:rsidR="008E3704" w:rsidRDefault="008E37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12" w:rsidRDefault="00480BE5">
    <w:pPr>
      <w:pStyle w:val="BodyText"/>
      <w:kinsoku w:val="0"/>
      <w:overflowPunct w:val="0"/>
      <w:spacing w:before="0" w:line="14" w:lineRule="auto"/>
      <w:ind w:left="0"/>
      <w:rPr>
        <w:rFonts w:ascii="Times New Roman" w:hAnsi="Times New Roman" w:cs="Times New Roman"/>
        <w:sz w:val="20"/>
        <w:szCs w:val="20"/>
      </w:rPr>
    </w:pPr>
    <w:r w:rsidRPr="00480BE5">
      <w:rPr>
        <w:noProof/>
      </w:rPr>
      <w:pict>
        <v:shapetype id="_x0000_t202" coordsize="21600,21600" o:spt="202" path="m,l,21600r21600,l21600,xe">
          <v:stroke joinstyle="miter"/>
          <v:path gradientshapeok="t" o:connecttype="rect"/>
        </v:shapetype>
        <v:shape id="_x0000_s2049" type="#_x0000_t202" style="position:absolute;margin-left:105.35pt;margin-top:787pt;width:177.15pt;height:21.95pt;z-index:-251659264;mso-position-horizontal-relative:page;mso-position-vertical-relative:page" o:allowincell="f" filled="f" stroked="f">
          <v:textbox inset="0,0,0,0">
            <w:txbxContent>
              <w:p w:rsidR="00A73C12" w:rsidRDefault="00A73C12">
                <w:pPr>
                  <w:pStyle w:val="BodyText"/>
                  <w:kinsoku w:val="0"/>
                  <w:overflowPunct w:val="0"/>
                  <w:spacing w:before="0" w:line="203" w:lineRule="exact"/>
                  <w:ind w:left="20"/>
                  <w:rPr>
                    <w:sz w:val="18"/>
                    <w:szCs w:val="18"/>
                  </w:rPr>
                </w:pPr>
                <w:r>
                  <w:rPr>
                    <w:i/>
                    <w:iCs/>
                    <w:sz w:val="18"/>
                    <w:szCs w:val="18"/>
                  </w:rPr>
                  <w:t xml:space="preserve">Payroll Tax Act 2011 </w:t>
                </w:r>
                <w:r>
                  <w:rPr>
                    <w:sz w:val="18"/>
                    <w:szCs w:val="18"/>
                  </w:rPr>
                  <w:t>Revenue Circular PTA074.4</w:t>
                </w:r>
              </w:p>
              <w:p w:rsidR="00A73C12" w:rsidRDefault="00A73C12">
                <w:pPr>
                  <w:pStyle w:val="BodyText"/>
                  <w:kinsoku w:val="0"/>
                  <w:overflowPunct w:val="0"/>
                  <w:spacing w:before="0" w:line="219" w:lineRule="exact"/>
                  <w:ind w:left="20"/>
                  <w:rPr>
                    <w:sz w:val="18"/>
                    <w:szCs w:val="18"/>
                  </w:rPr>
                </w:pPr>
                <w:r>
                  <w:rPr>
                    <w:sz w:val="18"/>
                    <w:szCs w:val="18"/>
                  </w:rPr>
                  <w:t>Exemptions for Employment Agents</w:t>
                </w:r>
              </w:p>
            </w:txbxContent>
          </v:textbox>
          <w10:wrap anchorx="page" anchory="page"/>
        </v:shape>
      </w:pict>
    </w:r>
    <w:r w:rsidRPr="00480BE5">
      <w:rPr>
        <w:noProof/>
      </w:rPr>
      <w:pict>
        <v:shape id="_x0000_s2050" type="#_x0000_t202" style="position:absolute;margin-left:503.4pt;margin-top:786.85pt;width:8.6pt;height:11pt;z-index:-251658240;mso-position-horizontal-relative:page;mso-position-vertical-relative:page" o:allowincell="f" filled="f" stroked="f">
          <v:textbox inset="0,0,0,0">
            <w:txbxContent>
              <w:p w:rsidR="00A73C12" w:rsidRDefault="00480BE5">
                <w:pPr>
                  <w:pStyle w:val="BodyText"/>
                  <w:kinsoku w:val="0"/>
                  <w:overflowPunct w:val="0"/>
                  <w:spacing w:before="0" w:line="203" w:lineRule="exact"/>
                  <w:ind w:left="40"/>
                  <w:rPr>
                    <w:sz w:val="18"/>
                    <w:szCs w:val="18"/>
                  </w:rPr>
                </w:pPr>
                <w:r>
                  <w:rPr>
                    <w:sz w:val="18"/>
                    <w:szCs w:val="18"/>
                  </w:rPr>
                  <w:fldChar w:fldCharType="begin"/>
                </w:r>
                <w:r w:rsidR="00A73C12">
                  <w:rPr>
                    <w:sz w:val="18"/>
                    <w:szCs w:val="18"/>
                  </w:rPr>
                  <w:instrText xml:space="preserve"> PAGE </w:instrText>
                </w:r>
                <w:r>
                  <w:rPr>
                    <w:sz w:val="18"/>
                    <w:szCs w:val="18"/>
                  </w:rPr>
                  <w:fldChar w:fldCharType="separate"/>
                </w:r>
                <w:r w:rsidR="00422487">
                  <w:rPr>
                    <w:noProof/>
                    <w:sz w:val="18"/>
                    <w:szCs w:val="18"/>
                  </w:rPr>
                  <w:t>5</w:t>
                </w:r>
                <w:r>
                  <w:rPr>
                    <w:sz w:val="18"/>
                    <w:szCs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704" w:rsidRDefault="008E3704">
      <w:r>
        <w:separator/>
      </w:r>
    </w:p>
  </w:footnote>
  <w:footnote w:type="continuationSeparator" w:id="0">
    <w:p w:rsidR="008E3704" w:rsidRDefault="008E3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414" w:hanging="852"/>
      </w:pPr>
      <w:rPr>
        <w:rFonts w:ascii="Calibri" w:hAnsi="Calibri" w:cs="Calibri"/>
        <w:b w:val="0"/>
        <w:bCs w:val="0"/>
        <w:spacing w:val="-4"/>
        <w:w w:val="100"/>
        <w:sz w:val="24"/>
        <w:szCs w:val="24"/>
      </w:rPr>
    </w:lvl>
    <w:lvl w:ilvl="1">
      <w:start w:val="1"/>
      <w:numFmt w:val="lowerLetter"/>
      <w:lvlText w:val="(%2)"/>
      <w:lvlJc w:val="left"/>
      <w:pPr>
        <w:ind w:left="966" w:hanging="720"/>
      </w:pPr>
      <w:rPr>
        <w:rFonts w:ascii="Calibri" w:hAnsi="Calibri" w:cs="Calibri"/>
        <w:b w:val="0"/>
        <w:bCs w:val="0"/>
        <w:spacing w:val="-3"/>
        <w:w w:val="100"/>
        <w:sz w:val="24"/>
        <w:szCs w:val="24"/>
      </w:rPr>
    </w:lvl>
    <w:lvl w:ilvl="2">
      <w:start w:val="1"/>
      <w:numFmt w:val="lowerRoman"/>
      <w:lvlText w:val="(%3)"/>
      <w:lvlJc w:val="left"/>
      <w:pPr>
        <w:ind w:left="1941" w:hanging="255"/>
      </w:pPr>
      <w:rPr>
        <w:rFonts w:ascii="Calibri" w:hAnsi="Calibri" w:cs="Calibri"/>
        <w:b w:val="0"/>
        <w:bCs w:val="0"/>
        <w:spacing w:val="-3"/>
        <w:w w:val="100"/>
        <w:sz w:val="24"/>
        <w:szCs w:val="24"/>
      </w:rPr>
    </w:lvl>
    <w:lvl w:ilvl="3">
      <w:numFmt w:val="bullet"/>
      <w:lvlText w:val="•"/>
      <w:lvlJc w:val="left"/>
      <w:pPr>
        <w:ind w:left="2842" w:hanging="255"/>
      </w:pPr>
    </w:lvl>
    <w:lvl w:ilvl="4">
      <w:numFmt w:val="bullet"/>
      <w:lvlText w:val="•"/>
      <w:lvlJc w:val="left"/>
      <w:pPr>
        <w:ind w:left="3744" w:hanging="255"/>
      </w:pPr>
    </w:lvl>
    <w:lvl w:ilvl="5">
      <w:numFmt w:val="bullet"/>
      <w:lvlText w:val="•"/>
      <w:lvlJc w:val="left"/>
      <w:pPr>
        <w:ind w:left="4647" w:hanging="255"/>
      </w:pPr>
    </w:lvl>
    <w:lvl w:ilvl="6">
      <w:numFmt w:val="bullet"/>
      <w:lvlText w:val="•"/>
      <w:lvlJc w:val="left"/>
      <w:pPr>
        <w:ind w:left="5549" w:hanging="255"/>
      </w:pPr>
    </w:lvl>
    <w:lvl w:ilvl="7">
      <w:numFmt w:val="bullet"/>
      <w:lvlText w:val="•"/>
      <w:lvlJc w:val="left"/>
      <w:pPr>
        <w:ind w:left="6452" w:hanging="255"/>
      </w:pPr>
    </w:lvl>
    <w:lvl w:ilvl="8">
      <w:numFmt w:val="bullet"/>
      <w:lvlText w:val="•"/>
      <w:lvlJc w:val="left"/>
      <w:pPr>
        <w:ind w:left="7354" w:hanging="25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adjustLineHeightInTable/>
  </w:compat>
  <w:rsids>
    <w:rsidRoot w:val="00A73C12"/>
    <w:rsid w:val="00043E6C"/>
    <w:rsid w:val="000643E7"/>
    <w:rsid w:val="001062C0"/>
    <w:rsid w:val="0011330F"/>
    <w:rsid w:val="001539D4"/>
    <w:rsid w:val="00160630"/>
    <w:rsid w:val="001F652B"/>
    <w:rsid w:val="00242035"/>
    <w:rsid w:val="002E6135"/>
    <w:rsid w:val="0031161C"/>
    <w:rsid w:val="00422487"/>
    <w:rsid w:val="004502A9"/>
    <w:rsid w:val="00480BE5"/>
    <w:rsid w:val="00516BDC"/>
    <w:rsid w:val="005224F3"/>
    <w:rsid w:val="005D23AB"/>
    <w:rsid w:val="00623D8B"/>
    <w:rsid w:val="007B2CC6"/>
    <w:rsid w:val="008E3704"/>
    <w:rsid w:val="00A56675"/>
    <w:rsid w:val="00A73C12"/>
    <w:rsid w:val="00AB4F21"/>
    <w:rsid w:val="00CA4711"/>
    <w:rsid w:val="00DE49C0"/>
    <w:rsid w:val="00EE1306"/>
    <w:rsid w:val="00FD150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161C"/>
    <w:pPr>
      <w:widowControl w:val="0"/>
      <w:autoSpaceDE w:val="0"/>
      <w:autoSpaceDN w:val="0"/>
      <w:adjustRightInd w:val="0"/>
    </w:pPr>
    <w:rPr>
      <w:rFonts w:cs="Calibri"/>
      <w:sz w:val="24"/>
      <w:szCs w:val="24"/>
    </w:rPr>
  </w:style>
  <w:style w:type="paragraph" w:styleId="Heading1">
    <w:name w:val="heading 1"/>
    <w:basedOn w:val="Normal"/>
    <w:next w:val="Normal"/>
    <w:link w:val="Heading1Char"/>
    <w:uiPriority w:val="1"/>
    <w:qFormat/>
    <w:rsid w:val="0031161C"/>
    <w:pPr>
      <w:spacing w:line="341" w:lineRule="exact"/>
      <w:ind w:left="414"/>
      <w:outlineLvl w:val="0"/>
    </w:pPr>
    <w:rPr>
      <w:b/>
      <w:bCs/>
      <w:sz w:val="28"/>
      <w:szCs w:val="28"/>
    </w:rPr>
  </w:style>
  <w:style w:type="paragraph" w:styleId="Heading2">
    <w:name w:val="heading 2"/>
    <w:basedOn w:val="Normal"/>
    <w:next w:val="Normal"/>
    <w:link w:val="Heading2Char"/>
    <w:uiPriority w:val="1"/>
    <w:qFormat/>
    <w:rsid w:val="0031161C"/>
    <w:pPr>
      <w:spacing w:before="119"/>
      <w:ind w:left="114"/>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1161C"/>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31161C"/>
    <w:rPr>
      <w:rFonts w:ascii="Cambria" w:eastAsia="Times New Roman" w:hAnsi="Cambria" w:cs="Times New Roman"/>
      <w:b/>
      <w:bCs/>
      <w:i/>
      <w:iCs/>
      <w:sz w:val="28"/>
      <w:szCs w:val="28"/>
    </w:rPr>
  </w:style>
  <w:style w:type="paragraph" w:styleId="BodyText">
    <w:name w:val="Body Text"/>
    <w:basedOn w:val="Normal"/>
    <w:link w:val="BodyTextChar"/>
    <w:uiPriority w:val="1"/>
    <w:qFormat/>
    <w:rsid w:val="0031161C"/>
    <w:pPr>
      <w:spacing w:before="119"/>
      <w:ind w:left="114"/>
    </w:pPr>
  </w:style>
  <w:style w:type="character" w:customStyle="1" w:styleId="BodyTextChar">
    <w:name w:val="Body Text Char"/>
    <w:link w:val="BodyText"/>
    <w:uiPriority w:val="99"/>
    <w:semiHidden/>
    <w:locked/>
    <w:rsid w:val="0031161C"/>
    <w:rPr>
      <w:rFonts w:ascii="Calibri" w:hAnsi="Calibri" w:cs="Calibri"/>
      <w:sz w:val="24"/>
      <w:szCs w:val="24"/>
    </w:rPr>
  </w:style>
  <w:style w:type="paragraph" w:styleId="ListParagraph">
    <w:name w:val="List Paragraph"/>
    <w:basedOn w:val="Normal"/>
    <w:uiPriority w:val="1"/>
    <w:qFormat/>
    <w:rsid w:val="0031161C"/>
    <w:pPr>
      <w:spacing w:before="119"/>
      <w:ind w:left="114"/>
    </w:pPr>
  </w:style>
  <w:style w:type="paragraph" w:customStyle="1" w:styleId="TableParagraph">
    <w:name w:val="Table Paragraph"/>
    <w:basedOn w:val="Normal"/>
    <w:uiPriority w:val="1"/>
    <w:qFormat/>
    <w:rsid w:val="0031161C"/>
    <w:pPr>
      <w:spacing w:before="56"/>
      <w:ind w:left="102"/>
    </w:pPr>
  </w:style>
  <w:style w:type="character" w:styleId="Hyperlink">
    <w:name w:val="Hyperlink"/>
    <w:uiPriority w:val="99"/>
    <w:unhideWhenUsed/>
    <w:rsid w:val="00FD1501"/>
    <w:rPr>
      <w:color w:val="0000FF"/>
      <w:u w:val="single"/>
    </w:rPr>
  </w:style>
  <w:style w:type="character" w:styleId="FollowedHyperlink">
    <w:name w:val="FollowedHyperlink"/>
    <w:uiPriority w:val="99"/>
    <w:semiHidden/>
    <w:unhideWhenUsed/>
    <w:rsid w:val="0011330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venue.act.gov.au/" TargetMode="External"/><Relationship Id="rId18" Type="http://schemas.openxmlformats.org/officeDocument/2006/relationships/hyperlink" Target="https://www.revenue.act.gov.au/__data/assets/pdf_file/0008/1068875/PTF027.pdf" TargetMode="External"/><Relationship Id="rId3" Type="http://schemas.openxmlformats.org/officeDocument/2006/relationships/styles" Target="styles.xml"/><Relationship Id="rId21" Type="http://schemas.openxmlformats.org/officeDocument/2006/relationships/hyperlink" Target="http://www.revenue.act.gov.au/__data/assets/pdf_file/0005/584411/PTA074.2_Employment_Agents.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revenue.act.gov.au/__data/assets/pdf_file/0015/610152/PTA027-Revenue-Circular-Chain-of-On-Hire-3.pdf"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revenue.act.gov.au/__data/assets/pdf_file/0004/504778/PTA039.pdf" TargetMode="External"/><Relationship Id="rId20" Type="http://schemas.openxmlformats.org/officeDocument/2006/relationships/hyperlink" Target="http://www.revenue.act.gov.au/__data/assets/pdf_file/0003/559128/PTA074.1_Employment_Agen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venue.act.gov.au/__data/assets/pdf_file/0008/504764/PTA014.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revenue.act.gov.au/__data/assets/pdf_file/0008/1068875/PTF027.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www.revenue.act.gov.au/__data/assets/file/0008/677132/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29ACF-8933-4D51-BF2C-CF75656F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1958</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Revenue Circular PTA074.4</vt:lpstr>
    </vt:vector>
  </TitlesOfParts>
  <Company/>
  <LinksUpToDate>false</LinksUpToDate>
  <CharactersWithSpaces>12467</CharactersWithSpaces>
  <SharedDoc>false</SharedDoc>
  <HLinks>
    <vt:vector size="54" baseType="variant">
      <vt:variant>
        <vt:i4>327753</vt:i4>
      </vt:variant>
      <vt:variant>
        <vt:i4>24</vt:i4>
      </vt:variant>
      <vt:variant>
        <vt:i4>0</vt:i4>
      </vt:variant>
      <vt:variant>
        <vt:i4>5</vt:i4>
      </vt:variant>
      <vt:variant>
        <vt:lpwstr>http://www.revenue.act.gov.au/__data/assets/file/0008/677132/www.revenue.act.gov.au</vt:lpwstr>
      </vt:variant>
      <vt:variant>
        <vt:lpwstr/>
      </vt:variant>
      <vt:variant>
        <vt:i4>5832752</vt:i4>
      </vt:variant>
      <vt:variant>
        <vt:i4>21</vt:i4>
      </vt:variant>
      <vt:variant>
        <vt:i4>0</vt:i4>
      </vt:variant>
      <vt:variant>
        <vt:i4>5</vt:i4>
      </vt:variant>
      <vt:variant>
        <vt:lpwstr>http://www.revenue.act.gov.au/__data/assets/pdf_file/0005/584411/PTA074.2_Employment_Agents.pdf</vt:lpwstr>
      </vt:variant>
      <vt:variant>
        <vt:lpwstr/>
      </vt:variant>
      <vt:variant>
        <vt:i4>5767227</vt:i4>
      </vt:variant>
      <vt:variant>
        <vt:i4>18</vt:i4>
      </vt:variant>
      <vt:variant>
        <vt:i4>0</vt:i4>
      </vt:variant>
      <vt:variant>
        <vt:i4>5</vt:i4>
      </vt:variant>
      <vt:variant>
        <vt:lpwstr>http://www.revenue.act.gov.au/__data/assets/pdf_file/0003/559128/PTA074.1_Employment_Agents.pdf</vt:lpwstr>
      </vt:variant>
      <vt:variant>
        <vt:lpwstr/>
      </vt:variant>
      <vt:variant>
        <vt:i4>2883662</vt:i4>
      </vt:variant>
      <vt:variant>
        <vt:i4>15</vt:i4>
      </vt:variant>
      <vt:variant>
        <vt:i4>0</vt:i4>
      </vt:variant>
      <vt:variant>
        <vt:i4>5</vt:i4>
      </vt:variant>
      <vt:variant>
        <vt:lpwstr>http://www.revenue.act.gov.au/__data/assets/pdf_file/0015/610152/PTA027-Revenue-Circular-Chain-of-On-Hire-3.pdf</vt:lpwstr>
      </vt:variant>
      <vt:variant>
        <vt:lpwstr/>
      </vt:variant>
      <vt:variant>
        <vt:i4>2883662</vt:i4>
      </vt:variant>
      <vt:variant>
        <vt:i4>12</vt:i4>
      </vt:variant>
      <vt:variant>
        <vt:i4>0</vt:i4>
      </vt:variant>
      <vt:variant>
        <vt:i4>5</vt:i4>
      </vt:variant>
      <vt:variant>
        <vt:lpwstr>http://www.revenue.act.gov.au/__data/assets/pdf_file/0015/610152/PTA027-Revenue-Circular-Chain-of-On-Hire-3.pdf</vt:lpwstr>
      </vt:variant>
      <vt:variant>
        <vt:lpwstr/>
      </vt:variant>
      <vt:variant>
        <vt:i4>2883662</vt:i4>
      </vt:variant>
      <vt:variant>
        <vt:i4>9</vt:i4>
      </vt:variant>
      <vt:variant>
        <vt:i4>0</vt:i4>
      </vt:variant>
      <vt:variant>
        <vt:i4>5</vt:i4>
      </vt:variant>
      <vt:variant>
        <vt:lpwstr>http://www.revenue.act.gov.au/__data/assets/pdf_file/0015/610152/PTA027-Revenue-Circular-Chain-of-On-Hire-3.pdf</vt:lpwstr>
      </vt:variant>
      <vt:variant>
        <vt:lpwstr/>
      </vt:variant>
      <vt:variant>
        <vt:i4>3604564</vt:i4>
      </vt:variant>
      <vt:variant>
        <vt:i4>6</vt:i4>
      </vt:variant>
      <vt:variant>
        <vt:i4>0</vt:i4>
      </vt:variant>
      <vt:variant>
        <vt:i4>5</vt:i4>
      </vt:variant>
      <vt:variant>
        <vt:lpwstr>http://www.revenue.act.gov.au/__data/assets/pdf_file/0004/504778/PTA039.pdf</vt:lpwstr>
      </vt:variant>
      <vt:variant>
        <vt:lpwstr/>
      </vt:variant>
      <vt:variant>
        <vt:i4>3735636</vt:i4>
      </vt:variant>
      <vt:variant>
        <vt:i4>3</vt:i4>
      </vt:variant>
      <vt:variant>
        <vt:i4>0</vt:i4>
      </vt:variant>
      <vt:variant>
        <vt:i4>5</vt:i4>
      </vt:variant>
      <vt:variant>
        <vt:lpwstr>http://www.revenue.act.gov.au/__data/assets/pdf_file/0008/504764/PTA014.pdf</vt:lpwstr>
      </vt:variant>
      <vt:variant>
        <vt:lpwstr/>
      </vt:variant>
      <vt:variant>
        <vt:i4>7209074</vt:i4>
      </vt:variant>
      <vt:variant>
        <vt:i4>0</vt:i4>
      </vt:variant>
      <vt:variant>
        <vt:i4>0</vt:i4>
      </vt:variant>
      <vt:variant>
        <vt:i4>5</vt:i4>
      </vt:variant>
      <vt:variant>
        <vt:lpwstr>http://www.revenue.act.gov.au/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Circular PTA074.4</dc:title>
  <dc:subject>Revenue Circular PTA074.4</dc:subject>
  <dc:creator/>
  <cp:lastModifiedBy>rosine la spina</cp:lastModifiedBy>
  <cp:revision>9</cp:revision>
  <cp:lastPrinted>2017-08-07T00:13:00Z</cp:lastPrinted>
  <dcterms:created xsi:type="dcterms:W3CDTF">2017-08-06T23:40:00Z</dcterms:created>
  <dcterms:modified xsi:type="dcterms:W3CDTF">2017-08-07T00:18:00Z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