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2D0A0C" w:rsidP="00071479">
      <w:pPr>
        <w:pStyle w:val="BodyText"/>
        <w:overflowPunct w:val="0"/>
        <w:ind w:left="-238"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style="mso-next-textbox:#Text Box 3">
              <w:txbxContent>
                <w:p w:rsidR="00071479" w:rsidRPr="006B0ECA" w:rsidRDefault="00071479">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style="mso-next-textbox:#Rectangle 8">
              <w:txbxContent>
                <w:p w:rsidR="00071479" w:rsidRPr="00D908F9" w:rsidRDefault="00071479"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Default="006B0ECA" w:rsidP="00071479">
      <w:pPr>
        <w:ind w:left="993" w:right="-1135"/>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32"/>
      </w:tblGrid>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D9D9D9"/>
          </w:tcPr>
          <w:p w:rsidR="00071479" w:rsidRPr="00705A5A" w:rsidRDefault="00071479" w:rsidP="00071479">
            <w:pPr>
              <w:jc w:val="both"/>
              <w:rPr>
                <w:b/>
                <w:lang w:eastAsia="en-US"/>
              </w:rPr>
            </w:pPr>
            <w:r>
              <w:rPr>
                <w:b/>
                <w:lang w:eastAsia="en-US"/>
              </w:rPr>
              <w:t>REVENUE CIRCULAR PTA01</w:t>
            </w:r>
            <w:r w:rsidR="00532252">
              <w:rPr>
                <w:b/>
                <w:lang w:eastAsia="en-US"/>
              </w:rPr>
              <w:t>5</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Pr="00404085" w:rsidRDefault="00532252" w:rsidP="00071479">
            <w:pPr>
              <w:jc w:val="both"/>
              <w:rPr>
                <w:lang w:eastAsia="en-US"/>
              </w:rPr>
            </w:pPr>
            <w:r>
              <w:rPr>
                <w:lang w:eastAsia="en-US"/>
              </w:rPr>
              <w:t xml:space="preserve">Workers Compensation Payments - </w:t>
            </w:r>
            <w:r w:rsidRPr="00F44A8D">
              <w:rPr>
                <w:i/>
                <w:lang w:eastAsia="en-US"/>
              </w:rPr>
              <w:t>Payroll Tax Act 2011</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Pr="00404085" w:rsidRDefault="00071479" w:rsidP="00071479">
            <w:pPr>
              <w:jc w:val="both"/>
              <w:rPr>
                <w:lang w:eastAsia="en-US"/>
              </w:rPr>
            </w:pPr>
            <w:r>
              <w:rPr>
                <w:lang w:eastAsia="en-US"/>
              </w:rPr>
              <w:t>Issue Date: 30 June 2011</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Pr="00404085" w:rsidRDefault="00071479" w:rsidP="00071479">
            <w:pPr>
              <w:jc w:val="both"/>
            </w:pPr>
            <w:r>
              <w:t>Status: Current – Effective 1 July 2011</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Default="00071479" w:rsidP="00071479">
            <w:pPr>
              <w:jc w:val="both"/>
            </w:pPr>
            <w:r>
              <w:t>Previous Circular: PTX01</w:t>
            </w:r>
            <w:r w:rsidR="00532252">
              <w:t>5</w:t>
            </w:r>
          </w:p>
        </w:tc>
      </w:tr>
    </w:tbl>
    <w:p w:rsidR="00071479" w:rsidRDefault="00071479" w:rsidP="00071479">
      <w:pPr>
        <w:pStyle w:val="Heading1"/>
        <w:spacing w:before="120" w:after="120" w:line="240" w:lineRule="auto"/>
        <w:ind w:left="1701" w:hanging="567"/>
        <w:jc w:val="both"/>
      </w:pPr>
      <w:r>
        <w:t>Preamble</w:t>
      </w:r>
    </w:p>
    <w:p w:rsidR="00532252" w:rsidRDefault="00532252" w:rsidP="00532252">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532252" w:rsidRPr="008C597B" w:rsidRDefault="00532252" w:rsidP="00532252">
      <w:pPr>
        <w:adjustRightInd w:val="0"/>
        <w:spacing w:before="120" w:after="120"/>
        <w:ind w:left="1701" w:hanging="567"/>
        <w:jc w:val="both"/>
        <w:rPr>
          <w:rFonts w:cs="Arial"/>
          <w:color w:val="000000"/>
        </w:rPr>
      </w:pPr>
      <w:r w:rsidRPr="008C597B">
        <w:rPr>
          <w:rFonts w:cs="Arial"/>
        </w:rPr>
        <w:t>1.</w:t>
      </w:r>
      <w:r w:rsidRPr="008C597B">
        <w:rPr>
          <w:rFonts w:cs="Arial"/>
        </w:rPr>
        <w:tab/>
        <w:t xml:space="preserve">The definition </w:t>
      </w:r>
      <w:r w:rsidRPr="008C597B">
        <w:rPr>
          <w:rFonts w:cs="Arial"/>
          <w:color w:val="000000"/>
        </w:rPr>
        <w:t xml:space="preserve">of taxable wages under the </w:t>
      </w:r>
      <w:r w:rsidRPr="008C597B">
        <w:rPr>
          <w:rFonts w:cs="Arial"/>
        </w:rPr>
        <w:t xml:space="preserve">Act </w:t>
      </w:r>
      <w:r w:rsidRPr="008C597B">
        <w:rPr>
          <w:rFonts w:cs="Arial"/>
          <w:color w:val="000000"/>
        </w:rPr>
        <w:t xml:space="preserve">generally includes the amount shown as gross wages on an employee's payment summary.  However, employers are sometimes uncertain whether payments of workers' compensation are taxable. </w:t>
      </w:r>
    </w:p>
    <w:p w:rsidR="00071479" w:rsidRDefault="00071479" w:rsidP="00071479">
      <w:pPr>
        <w:pStyle w:val="Heading1"/>
        <w:ind w:left="1134" w:firstLine="0"/>
        <w:jc w:val="both"/>
        <w:rPr>
          <w:rFonts w:asciiTheme="minorHAnsi" w:hAnsiTheme="minorHAnsi"/>
        </w:rPr>
      </w:pPr>
      <w:r w:rsidRPr="00AD4741">
        <w:rPr>
          <w:rFonts w:asciiTheme="minorHAnsi" w:hAnsiTheme="minorHAnsi"/>
        </w:rPr>
        <w:t>Circular</w:t>
      </w:r>
    </w:p>
    <w:p w:rsidR="00532252" w:rsidRDefault="00532252" w:rsidP="00532252">
      <w:pPr>
        <w:adjustRightInd w:val="0"/>
        <w:spacing w:before="120" w:after="120"/>
        <w:ind w:left="1701" w:hanging="567"/>
        <w:jc w:val="both"/>
        <w:rPr>
          <w:rFonts w:cs="Arial"/>
          <w:color w:val="000000"/>
        </w:rPr>
      </w:pPr>
      <w:r>
        <w:rPr>
          <w:rFonts w:cs="Arial"/>
        </w:rPr>
        <w:t>2</w:t>
      </w:r>
      <w:r w:rsidRPr="000715D3">
        <w:rPr>
          <w:rFonts w:cs="Arial"/>
        </w:rPr>
        <w:t>.</w:t>
      </w:r>
      <w:r w:rsidRPr="000715D3">
        <w:rPr>
          <w:rFonts w:cs="Arial"/>
        </w:rPr>
        <w:tab/>
        <w:t xml:space="preserve">The </w:t>
      </w:r>
      <w:r>
        <w:rPr>
          <w:rFonts w:cs="Arial"/>
        </w:rPr>
        <w:t xml:space="preserve">purpose </w:t>
      </w:r>
      <w:r w:rsidRPr="008C597B">
        <w:rPr>
          <w:rFonts w:cs="Arial"/>
          <w:color w:val="000000"/>
        </w:rPr>
        <w:t>of this circular is to clarify how workers’ compensation payments are treated for payroll tax purposes.</w:t>
      </w:r>
    </w:p>
    <w:p w:rsidR="00532252" w:rsidRDefault="00532252" w:rsidP="00532252">
      <w:pPr>
        <w:adjustRightInd w:val="0"/>
        <w:spacing w:before="120" w:after="120"/>
        <w:ind w:left="1701" w:hanging="567"/>
        <w:jc w:val="both"/>
        <w:rPr>
          <w:rFonts w:cs="Arial"/>
          <w:color w:val="000000"/>
        </w:rPr>
      </w:pPr>
      <w:r>
        <w:rPr>
          <w:rFonts w:cs="Arial"/>
        </w:rPr>
        <w:t>3</w:t>
      </w:r>
      <w:r w:rsidRPr="000715D3">
        <w:rPr>
          <w:rFonts w:cs="Arial"/>
        </w:rPr>
        <w:t>.</w:t>
      </w:r>
      <w:r w:rsidRPr="000715D3">
        <w:rPr>
          <w:rFonts w:cs="Arial"/>
        </w:rPr>
        <w:tab/>
      </w:r>
      <w:r>
        <w:rPr>
          <w:rFonts w:cs="Arial"/>
        </w:rPr>
        <w:t xml:space="preserve">Payments </w:t>
      </w:r>
      <w:r w:rsidRPr="008C597B">
        <w:rPr>
          <w:rFonts w:cs="Arial"/>
          <w:color w:val="000000"/>
        </w:rPr>
        <w:t>of compensation made in accordance with the applicable workers' compensation schemes in the ACT are not subject to payroll tax.  This is the case whether or not the payment to the worker is made by the employer or the insurer.</w:t>
      </w:r>
    </w:p>
    <w:p w:rsidR="00532252" w:rsidRDefault="00532252" w:rsidP="00532252">
      <w:pPr>
        <w:adjustRightInd w:val="0"/>
        <w:spacing w:before="120" w:after="120"/>
        <w:ind w:left="1701" w:hanging="567"/>
        <w:jc w:val="both"/>
        <w:rPr>
          <w:rFonts w:cs="Arial"/>
          <w:color w:val="000000"/>
        </w:rPr>
      </w:pPr>
      <w:r>
        <w:rPr>
          <w:rFonts w:cs="Arial"/>
        </w:rPr>
        <w:t>4</w:t>
      </w:r>
      <w:r w:rsidRPr="000715D3">
        <w:rPr>
          <w:rFonts w:cs="Arial"/>
        </w:rPr>
        <w:t>.</w:t>
      </w:r>
      <w:r w:rsidRPr="000715D3">
        <w:rPr>
          <w:rFonts w:cs="Arial"/>
        </w:rPr>
        <w:tab/>
      </w:r>
      <w:r>
        <w:rPr>
          <w:rFonts w:cs="Arial"/>
        </w:rPr>
        <w:t xml:space="preserve">However, </w:t>
      </w:r>
      <w:r w:rsidRPr="008C597B">
        <w:rPr>
          <w:rFonts w:cs="Arial"/>
          <w:color w:val="000000"/>
        </w:rPr>
        <w:t>compensation paid to incapacitated workers, in excess of the amount prescribed by the relevant workers' compensation legislation (i.e. 'make-up pay') will be subject to payroll tax.</w:t>
      </w:r>
    </w:p>
    <w:p w:rsidR="00071479" w:rsidRPr="00E3552D" w:rsidRDefault="00071479" w:rsidP="00071479">
      <w:pPr>
        <w:ind w:left="1134" w:right="45"/>
        <w:jc w:val="both"/>
        <w:rPr>
          <w:rFonts w:cs="Arial"/>
          <w:szCs w:val="23"/>
        </w:rPr>
      </w:pPr>
    </w:p>
    <w:p w:rsidR="00071479" w:rsidRDefault="00071479" w:rsidP="00071479">
      <w:pPr>
        <w:adjustRightInd w:val="0"/>
        <w:ind w:left="1134" w:right="45"/>
        <w:jc w:val="both"/>
        <w:rPr>
          <w:rFonts w:cs="Arial"/>
          <w:bCs/>
        </w:rPr>
      </w:pPr>
      <w:r>
        <w:rPr>
          <w:rFonts w:cs="Arial"/>
          <w:bCs/>
        </w:rPr>
        <w:t>SIGNED</w:t>
      </w:r>
    </w:p>
    <w:p w:rsidR="00071479" w:rsidRPr="00E3552D" w:rsidRDefault="00071479" w:rsidP="00071479">
      <w:pPr>
        <w:adjustRightInd w:val="0"/>
        <w:ind w:left="1134" w:right="45"/>
        <w:jc w:val="both"/>
        <w:rPr>
          <w:rFonts w:cs="Arial"/>
          <w:bCs/>
        </w:rPr>
      </w:pPr>
    </w:p>
    <w:p w:rsidR="00071479" w:rsidRPr="00E3552D" w:rsidRDefault="00071479" w:rsidP="00071479">
      <w:pPr>
        <w:adjustRightInd w:val="0"/>
        <w:ind w:left="1134" w:right="45"/>
        <w:jc w:val="both"/>
        <w:rPr>
          <w:rFonts w:cs="Arial"/>
          <w:bCs/>
        </w:rPr>
      </w:pPr>
      <w:r>
        <w:rPr>
          <w:rFonts w:cs="Arial"/>
          <w:bCs/>
        </w:rPr>
        <w:t>David Read</w:t>
      </w:r>
    </w:p>
    <w:p w:rsidR="00071479" w:rsidRPr="00E3552D" w:rsidRDefault="00071479" w:rsidP="00071479">
      <w:pPr>
        <w:adjustRightInd w:val="0"/>
        <w:ind w:left="1134" w:right="45"/>
        <w:jc w:val="both"/>
        <w:rPr>
          <w:rFonts w:cs="Arial"/>
        </w:rPr>
      </w:pPr>
      <w:r w:rsidRPr="00E3552D">
        <w:rPr>
          <w:rFonts w:cs="Arial"/>
        </w:rPr>
        <w:t>Commissioner for ACT Revenue</w:t>
      </w:r>
    </w:p>
    <w:p w:rsidR="00071479" w:rsidRDefault="00071479" w:rsidP="00071479">
      <w:pPr>
        <w:adjustRightInd w:val="0"/>
        <w:ind w:left="1134" w:right="45"/>
        <w:jc w:val="both"/>
        <w:rPr>
          <w:rFonts w:cs="Arial"/>
          <w:bCs/>
        </w:rPr>
      </w:pPr>
      <w:r>
        <w:rPr>
          <w:rFonts w:cs="Arial"/>
          <w:bCs/>
        </w:rPr>
        <w:t>30 June 2011</w:t>
      </w:r>
    </w:p>
    <w:p w:rsidR="00071479" w:rsidRPr="00CD6913" w:rsidRDefault="00071479" w:rsidP="00071479">
      <w:pPr>
        <w:ind w:left="1134" w:right="-1135"/>
        <w:jc w:val="both"/>
        <w:rPr>
          <w:rFonts w:asciiTheme="minorHAnsi" w:hAnsiTheme="minorHAnsi"/>
        </w:rPr>
      </w:pPr>
    </w:p>
    <w:sectPr w:rsidR="00071479" w:rsidRPr="00CD6913" w:rsidSect="00071479">
      <w:footerReference w:type="default" r:id="rId9"/>
      <w:pgSz w:w="11910" w:h="16840" w:code="9"/>
      <w:pgMar w:top="-15" w:right="1137" w:bottom="1100" w:left="142"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479" w:rsidRDefault="00071479" w:rsidP="005B0828">
      <w:r>
        <w:separator/>
      </w:r>
    </w:p>
  </w:endnote>
  <w:endnote w:type="continuationSeparator" w:id="0">
    <w:p w:rsidR="00071479" w:rsidRDefault="00071479"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79" w:rsidRPr="00F44A8D" w:rsidRDefault="00071479" w:rsidP="00071479">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p w:rsidR="00071479" w:rsidRDefault="00071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479" w:rsidRDefault="00071479" w:rsidP="005B0828">
      <w:r w:rsidRPr="005B0828">
        <w:rPr>
          <w:color w:val="000000"/>
        </w:rPr>
        <w:separator/>
      </w:r>
    </w:p>
  </w:footnote>
  <w:footnote w:type="continuationSeparator" w:id="0">
    <w:p w:rsidR="00071479" w:rsidRDefault="00071479" w:rsidP="005B0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4FC2C71"/>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453845B3"/>
    <w:multiLevelType w:val="hybridMultilevel"/>
    <w:tmpl w:val="668EF11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798D6C55"/>
    <w:multiLevelType w:val="hybridMultilevel"/>
    <w:tmpl w:val="7D14D7B6"/>
    <w:lvl w:ilvl="0" w:tplc="E1565F5E">
      <w:start w:val="1"/>
      <w:numFmt w:val="lowerLetter"/>
      <w:lvlText w:val="(%1)"/>
      <w:lvlJc w:val="left"/>
      <w:pPr>
        <w:tabs>
          <w:tab w:val="num" w:pos="1004"/>
        </w:tabs>
        <w:ind w:left="1004" w:hanging="720"/>
      </w:pPr>
      <w:rPr>
        <w:rFonts w:cs="Times New Roman" w:hint="default"/>
      </w:rPr>
    </w:lvl>
    <w:lvl w:ilvl="1" w:tplc="0C090003" w:tentative="1">
      <w:start w:val="1"/>
      <w:numFmt w:val="bullet"/>
      <w:lvlText w:val="o"/>
      <w:lvlJc w:val="left"/>
      <w:pPr>
        <w:tabs>
          <w:tab w:val="num" w:pos="1441"/>
        </w:tabs>
        <w:ind w:left="1441" w:hanging="360"/>
      </w:pPr>
      <w:rPr>
        <w:rFonts w:ascii="Courier New" w:hAnsi="Courier New" w:hint="default"/>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B0828"/>
    <w:rsid w:val="00003ABC"/>
    <w:rsid w:val="00071479"/>
    <w:rsid w:val="000A01C8"/>
    <w:rsid w:val="000D649E"/>
    <w:rsid w:val="000D64C3"/>
    <w:rsid w:val="00193116"/>
    <w:rsid w:val="001C32ED"/>
    <w:rsid w:val="00210C1D"/>
    <w:rsid w:val="002240B1"/>
    <w:rsid w:val="00244887"/>
    <w:rsid w:val="00275FAE"/>
    <w:rsid w:val="002A094B"/>
    <w:rsid w:val="002D0A0C"/>
    <w:rsid w:val="00310E54"/>
    <w:rsid w:val="00334745"/>
    <w:rsid w:val="00391CB7"/>
    <w:rsid w:val="003979F9"/>
    <w:rsid w:val="003F7D8D"/>
    <w:rsid w:val="00443970"/>
    <w:rsid w:val="00532252"/>
    <w:rsid w:val="005B0828"/>
    <w:rsid w:val="00670F0B"/>
    <w:rsid w:val="006B0ECA"/>
    <w:rsid w:val="006B2035"/>
    <w:rsid w:val="007A65CD"/>
    <w:rsid w:val="007C691C"/>
    <w:rsid w:val="00815D0A"/>
    <w:rsid w:val="00822F9C"/>
    <w:rsid w:val="0089072D"/>
    <w:rsid w:val="008B1CDE"/>
    <w:rsid w:val="00943FB7"/>
    <w:rsid w:val="009C39EB"/>
    <w:rsid w:val="00A04E5E"/>
    <w:rsid w:val="00A136AE"/>
    <w:rsid w:val="00A812EA"/>
    <w:rsid w:val="00AD4741"/>
    <w:rsid w:val="00AF7801"/>
    <w:rsid w:val="00B92F40"/>
    <w:rsid w:val="00BE0B6D"/>
    <w:rsid w:val="00BF1D92"/>
    <w:rsid w:val="00BF64D2"/>
    <w:rsid w:val="00C82405"/>
    <w:rsid w:val="00C8554F"/>
    <w:rsid w:val="00CD0ACD"/>
    <w:rsid w:val="00CD6913"/>
    <w:rsid w:val="00D908F9"/>
    <w:rsid w:val="00DA0B26"/>
    <w:rsid w:val="00DA6ED5"/>
    <w:rsid w:val="00E91AB3"/>
    <w:rsid w:val="00F44A8D"/>
    <w:rsid w:val="00FF5D3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FootnoteText">
    <w:name w:val="footnote text"/>
    <w:basedOn w:val="Normal"/>
    <w:link w:val="FootnoteTextChar"/>
    <w:uiPriority w:val="99"/>
    <w:semiHidden/>
    <w:rsid w:val="00A136AE"/>
    <w:pPr>
      <w:widowControl/>
      <w:suppressAutoHyphens w:val="0"/>
      <w:autoSpaceDE/>
      <w:autoSpaceDN/>
      <w:textAlignment w:val="auto"/>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uiPriority w:val="99"/>
    <w:semiHidden/>
    <w:rsid w:val="00A136AE"/>
    <w:rPr>
      <w:rFonts w:ascii="Times New Roman" w:eastAsia="Times" w:hAnsi="Times New Roman"/>
      <w:sz w:val="20"/>
      <w:szCs w:val="20"/>
    </w:rPr>
  </w:style>
  <w:style w:type="character" w:styleId="FootnoteReference">
    <w:name w:val="footnote reference"/>
    <w:basedOn w:val="DefaultParagraphFont"/>
    <w:uiPriority w:val="99"/>
    <w:semiHidden/>
    <w:rsid w:val="00A136AE"/>
    <w:rPr>
      <w:rFonts w:cs="Times New Roman"/>
      <w:vertAlign w:val="superscript"/>
    </w:rPr>
  </w:style>
  <w:style w:type="paragraph" w:customStyle="1" w:styleId="Default">
    <w:name w:val="Default"/>
    <w:uiPriority w:val="99"/>
    <w:rsid w:val="00A136AE"/>
    <w:pPr>
      <w:autoSpaceDE w:val="0"/>
      <w:adjustRightInd w:val="0"/>
      <w:spacing w:after="0" w:line="240" w:lineRule="auto"/>
      <w:textAlignment w:val="auto"/>
    </w:pPr>
    <w:rPr>
      <w:rFonts w:ascii="Arial" w:eastAsia="Time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D6A9F-F71C-40D0-AB9A-88EE2A79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4</cp:revision>
  <cp:lastPrinted>2017-05-08T23:51:00Z</cp:lastPrinted>
  <dcterms:created xsi:type="dcterms:W3CDTF">2017-05-11T04:25:00Z</dcterms:created>
  <dcterms:modified xsi:type="dcterms:W3CDTF">2017-05-11T05:16:00Z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