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CA" w:rsidRDefault="00A61156" w:rsidP="00DA0B26">
      <w:pPr>
        <w:pStyle w:val="BodyText"/>
        <w:overflowPunct w:val="0"/>
        <w:ind w:righ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67B" w:rsidRPr="006B0ECA" w:rsidRDefault="007B467B">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7B467B" w:rsidRPr="006B0ECA" w:rsidRDefault="007B467B">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67B" w:rsidRPr="00D908F9" w:rsidRDefault="007B467B"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7B467B" w:rsidRPr="00D908F9" w:rsidRDefault="007B467B"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extent cx="9553651" cy="2183082"/>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tretch>
                      <a:fillRect/>
                    </a:stretch>
                  </pic:blipFill>
                  <pic:spPr bwMode="auto">
                    <a:xfrm>
                      <a:off x="0" y="0"/>
                      <a:ext cx="9570875"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516"/>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9955D1">
            <w:pPr>
              <w:jc w:val="both"/>
              <w:rPr>
                <w:b/>
                <w:lang w:eastAsia="en-US"/>
              </w:rPr>
            </w:pPr>
            <w:r>
              <w:rPr>
                <w:b/>
                <w:lang w:eastAsia="en-US"/>
              </w:rPr>
              <w:t>REVENUE CIRCULAR PTA0</w:t>
            </w:r>
            <w:r w:rsidR="00767E92">
              <w:rPr>
                <w:b/>
                <w:lang w:eastAsia="en-US"/>
              </w:rPr>
              <w:t>72</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767E92" w:rsidP="00767E92">
            <w:pPr>
              <w:jc w:val="both"/>
              <w:rPr>
                <w:lang w:eastAsia="en-US"/>
              </w:rPr>
            </w:pPr>
            <w:r>
              <w:rPr>
                <w:lang w:eastAsia="en-US"/>
              </w:rPr>
              <w:t xml:space="preserve">Change in requirements – Exemption from payroll tax on wages paid to employees previously long-term unemployed:  </w:t>
            </w:r>
            <w:r w:rsidR="00F44A8D" w:rsidRPr="00F44A8D">
              <w:rPr>
                <w:i/>
                <w:lang w:eastAsia="en-US"/>
              </w:rPr>
              <w:t>Payroll Tax Act 2011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576D5C">
            <w:pPr>
              <w:jc w:val="both"/>
              <w:rPr>
                <w:lang w:eastAsia="en-US"/>
              </w:rPr>
            </w:pPr>
            <w:r>
              <w:rPr>
                <w:lang w:eastAsia="en-US"/>
              </w:rPr>
              <w:t xml:space="preserve">Issue Date: </w:t>
            </w:r>
            <w:r w:rsidR="00576D5C">
              <w:rPr>
                <w:lang w:eastAsia="en-US"/>
              </w:rPr>
              <w:t>30 June</w:t>
            </w:r>
            <w:r w:rsidR="00692CD4">
              <w:rPr>
                <w:lang w:eastAsia="en-US"/>
              </w:rPr>
              <w:t xml:space="preserve"> 2011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8E4C38">
            <w:pPr>
              <w:jc w:val="both"/>
            </w:pPr>
            <w:r>
              <w:t>Status: Current</w:t>
            </w:r>
            <w:r w:rsidR="00BB7D19">
              <w:t xml:space="preserve"> – Effective </w:t>
            </w:r>
            <w:r w:rsidR="008E4C38">
              <w:rPr>
                <w:lang w:eastAsia="en-US"/>
              </w:rPr>
              <w:t>1 July 2011</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AD4741">
            <w:pPr>
              <w:jc w:val="both"/>
            </w:pPr>
            <w:r>
              <w:t xml:space="preserve">Previous Circular: </w:t>
            </w:r>
            <w:r w:rsidR="00692CD4">
              <w:t>-</w:t>
            </w:r>
            <w:r w:rsidR="00767E92">
              <w:t>PTX013</w:t>
            </w:r>
          </w:p>
        </w:tc>
      </w:tr>
    </w:tbl>
    <w:p w:rsidR="00F44A8D" w:rsidRPr="00AD4741" w:rsidRDefault="00BB7D19" w:rsidP="004E577D">
      <w:pPr>
        <w:pStyle w:val="Heading1"/>
        <w:spacing w:before="60" w:after="60" w:line="240" w:lineRule="auto"/>
        <w:ind w:left="1701" w:hanging="567"/>
        <w:jc w:val="both"/>
      </w:pPr>
      <w:r>
        <w:t>Preamble</w:t>
      </w:r>
    </w:p>
    <w:p w:rsidR="00767E92" w:rsidRDefault="00767E92" w:rsidP="00767E92">
      <w:pPr>
        <w:adjustRightInd w:val="0"/>
        <w:spacing w:before="120" w:after="120"/>
        <w:ind w:left="1134"/>
        <w:jc w:val="both"/>
        <w:rPr>
          <w:rFonts w:cs="Arial"/>
        </w:rPr>
      </w:pPr>
      <w:r>
        <w:rPr>
          <w:rFonts w:cs="Arial"/>
        </w:rPr>
        <w:t xml:space="preserve">The </w:t>
      </w:r>
      <w:r>
        <w:rPr>
          <w:rFonts w:cs="Arial"/>
          <w:i/>
        </w:rPr>
        <w:t>Payroll Tax Act 2011</w:t>
      </w:r>
      <w:r>
        <w:rPr>
          <w:rFonts w:cs="Arial"/>
        </w:rPr>
        <w:t xml:space="preserve"> (the Act), which commenced on 1 July 2011, rewrites the </w:t>
      </w:r>
      <w:r>
        <w:rPr>
          <w:rFonts w:cs="Arial"/>
          <w:i/>
        </w:rPr>
        <w:t>Payroll Tax Act 1987</w:t>
      </w:r>
      <w:r>
        <w:rPr>
          <w:rFonts w:cs="Arial"/>
        </w:rPr>
        <w:t xml:space="preserve"> (the 1987 Act) and harmonises the payroll tax legislation in the Australian jurisdictions.  </w:t>
      </w:r>
    </w:p>
    <w:p w:rsidR="00767E92" w:rsidRDefault="00767E92" w:rsidP="00767E92">
      <w:pPr>
        <w:shd w:val="clear" w:color="auto" w:fill="FFFFFF"/>
        <w:spacing w:before="120" w:after="120"/>
        <w:ind w:left="1701" w:hanging="567"/>
        <w:jc w:val="both"/>
        <w:rPr>
          <w:rFonts w:cs="Arial"/>
        </w:rPr>
      </w:pPr>
      <w:r>
        <w:rPr>
          <w:rFonts w:cs="Arial"/>
        </w:rPr>
        <w:t>1.</w:t>
      </w:r>
      <w:r>
        <w:rPr>
          <w:rFonts w:cs="Arial"/>
        </w:rPr>
        <w:tab/>
        <w:t>The Act imposes a liability to ACT payroll tax on an employer for any wages paid or payable by the employer for services rendered or performed in, or partly in, the ACT.</w:t>
      </w:r>
    </w:p>
    <w:p w:rsidR="00767E92" w:rsidRDefault="00767E92" w:rsidP="00767E92">
      <w:pPr>
        <w:shd w:val="clear" w:color="auto" w:fill="FFFFFF"/>
        <w:spacing w:before="120" w:after="120"/>
        <w:ind w:left="1701" w:hanging="567"/>
        <w:jc w:val="both"/>
        <w:rPr>
          <w:rFonts w:cs="Arial"/>
          <w:color w:val="000000"/>
        </w:rPr>
      </w:pPr>
      <w:r>
        <w:rPr>
          <w:rFonts w:cs="Arial"/>
        </w:rPr>
        <w:t>2.</w:t>
      </w:r>
      <w:r>
        <w:rPr>
          <w:rFonts w:cs="Arial"/>
        </w:rPr>
        <w:tab/>
        <w:t xml:space="preserve">Schedule 2, part 2.7 under the Act </w:t>
      </w:r>
      <w:r>
        <w:rPr>
          <w:rFonts w:cs="Arial"/>
          <w:color w:val="000000"/>
        </w:rPr>
        <w:t xml:space="preserve">provides an exemption from payroll tax on wages paid to employees who were previously long-term unemployed. </w:t>
      </w:r>
    </w:p>
    <w:p w:rsidR="007B467B" w:rsidRPr="00DA4FA0" w:rsidRDefault="00576D5C" w:rsidP="004E577D">
      <w:pPr>
        <w:spacing w:before="60" w:after="60"/>
        <w:ind w:left="1134"/>
        <w:jc w:val="both"/>
        <w:outlineLvl w:val="1"/>
        <w:rPr>
          <w:rFonts w:cs="Arial"/>
          <w:b/>
          <w:bCs/>
          <w:color w:val="000000"/>
          <w:sz w:val="26"/>
          <w:szCs w:val="26"/>
        </w:rPr>
      </w:pPr>
      <w:r>
        <w:rPr>
          <w:rFonts w:cs="Arial"/>
          <w:b/>
          <w:bCs/>
          <w:color w:val="000000"/>
          <w:sz w:val="26"/>
          <w:szCs w:val="26"/>
        </w:rPr>
        <w:t>Circular</w:t>
      </w:r>
    </w:p>
    <w:p w:rsidR="003A7949" w:rsidRDefault="003A7949" w:rsidP="003A7949">
      <w:pPr>
        <w:adjustRightInd w:val="0"/>
        <w:spacing w:before="120" w:after="120"/>
        <w:ind w:left="1701" w:hanging="567"/>
        <w:jc w:val="both"/>
        <w:rPr>
          <w:rFonts w:cs="Arial"/>
          <w:color w:val="000000"/>
        </w:rPr>
      </w:pPr>
      <w:r>
        <w:rPr>
          <w:rFonts w:cs="Arial"/>
          <w:color w:val="000000"/>
        </w:rPr>
        <w:t>3.</w:t>
      </w:r>
      <w:r>
        <w:rPr>
          <w:rFonts w:cs="Arial"/>
          <w:color w:val="000000"/>
        </w:rPr>
        <w:tab/>
        <w:t xml:space="preserve">This circular provides details of the exemption from ACT payroll tax for the employment of employees who were previously long-term unemployed in receipt of an allowance under the </w:t>
      </w:r>
      <w:r>
        <w:rPr>
          <w:rFonts w:cs="Arial"/>
          <w:i/>
          <w:iCs/>
          <w:color w:val="000000"/>
        </w:rPr>
        <w:t xml:space="preserve">Social Security Act 1991 </w:t>
      </w:r>
      <w:r>
        <w:rPr>
          <w:rFonts w:cs="Arial"/>
          <w:iCs/>
          <w:color w:val="000000"/>
        </w:rPr>
        <w:t>(</w:t>
      </w:r>
      <w:proofErr w:type="spellStart"/>
      <w:r>
        <w:rPr>
          <w:rFonts w:cs="Arial"/>
          <w:iCs/>
          <w:color w:val="000000"/>
        </w:rPr>
        <w:t>Cwth</w:t>
      </w:r>
      <w:proofErr w:type="spellEnd"/>
      <w:r>
        <w:rPr>
          <w:rFonts w:cs="Arial"/>
          <w:iCs/>
          <w:color w:val="000000"/>
        </w:rPr>
        <w:t>) (SSA)</w:t>
      </w:r>
      <w:r>
        <w:rPr>
          <w:rFonts w:cs="Arial"/>
          <w:color w:val="000000"/>
        </w:rPr>
        <w:t xml:space="preserve">. </w:t>
      </w:r>
    </w:p>
    <w:p w:rsidR="003A7949" w:rsidRDefault="003A7949" w:rsidP="003A7949">
      <w:pPr>
        <w:adjustRightInd w:val="0"/>
        <w:spacing w:before="120" w:after="120"/>
        <w:ind w:left="1701" w:hanging="567"/>
        <w:jc w:val="both"/>
        <w:rPr>
          <w:rFonts w:cs="Arial"/>
          <w:color w:val="000000"/>
        </w:rPr>
      </w:pPr>
      <w:r>
        <w:rPr>
          <w:rFonts w:cs="Arial"/>
          <w:color w:val="000000"/>
        </w:rPr>
        <w:t>4.</w:t>
      </w:r>
      <w:r>
        <w:rPr>
          <w:rFonts w:cs="Arial"/>
          <w:color w:val="000000"/>
        </w:rPr>
        <w:tab/>
        <w:t>The exemption applies to wages paid to the above employees in the first two years of their employment.</w:t>
      </w:r>
    </w:p>
    <w:p w:rsidR="003A7949" w:rsidRPr="003A7949" w:rsidRDefault="003A7949" w:rsidP="003A7949">
      <w:pPr>
        <w:adjustRightInd w:val="0"/>
        <w:spacing w:before="120" w:after="120"/>
        <w:ind w:left="1134"/>
        <w:outlineLvl w:val="1"/>
        <w:rPr>
          <w:rFonts w:cs="Arial"/>
          <w:b/>
          <w:bCs/>
          <w:color w:val="000000"/>
        </w:rPr>
      </w:pPr>
      <w:r w:rsidRPr="003A7949">
        <w:rPr>
          <w:rFonts w:cs="Arial"/>
          <w:b/>
          <w:bCs/>
          <w:color w:val="000000"/>
        </w:rPr>
        <w:t>Person who is long-term unemployed</w:t>
      </w:r>
    </w:p>
    <w:p w:rsidR="003A7949" w:rsidRDefault="003A7949" w:rsidP="003A7949">
      <w:pPr>
        <w:adjustRightInd w:val="0"/>
        <w:spacing w:before="120" w:after="120"/>
        <w:ind w:left="1701" w:hanging="567"/>
        <w:jc w:val="both"/>
        <w:rPr>
          <w:rFonts w:cs="Arial"/>
          <w:color w:val="000000"/>
        </w:rPr>
      </w:pPr>
      <w:r>
        <w:rPr>
          <w:rFonts w:cs="Arial"/>
          <w:color w:val="000000"/>
        </w:rPr>
        <w:t>5.</w:t>
      </w:r>
      <w:r>
        <w:rPr>
          <w:rFonts w:cs="Arial"/>
          <w:color w:val="000000"/>
        </w:rPr>
        <w:tab/>
        <w:t xml:space="preserve">Generally, a person is considered to be long-term unemployed if that person was, immediately prior to commencing employment: </w:t>
      </w:r>
    </w:p>
    <w:p w:rsidR="003A7949" w:rsidRDefault="003A7949" w:rsidP="003A7949">
      <w:pPr>
        <w:adjustRightInd w:val="0"/>
        <w:spacing w:before="120" w:after="120"/>
        <w:ind w:left="2410" w:hanging="567"/>
        <w:rPr>
          <w:rFonts w:cs="Arial"/>
          <w:color w:val="000000"/>
        </w:rPr>
      </w:pPr>
      <w:r>
        <w:rPr>
          <w:rFonts w:cs="Arial"/>
          <w:color w:val="000000"/>
        </w:rPr>
        <w:t>(a)</w:t>
      </w:r>
      <w:r>
        <w:rPr>
          <w:rFonts w:cs="Arial"/>
          <w:color w:val="000000"/>
        </w:rPr>
        <w:tab/>
      </w:r>
      <w:proofErr w:type="gramStart"/>
      <w:r>
        <w:rPr>
          <w:rFonts w:cs="Arial"/>
          <w:color w:val="000000"/>
        </w:rPr>
        <w:t>unemployed</w:t>
      </w:r>
      <w:proofErr w:type="gramEnd"/>
      <w:r>
        <w:rPr>
          <w:rFonts w:cs="Arial"/>
          <w:color w:val="000000"/>
        </w:rPr>
        <w:t xml:space="preserve"> for longer than 12 months;  and</w:t>
      </w:r>
    </w:p>
    <w:p w:rsidR="003A7949" w:rsidRDefault="003A7949" w:rsidP="003A7949">
      <w:pPr>
        <w:adjustRightInd w:val="0"/>
        <w:spacing w:before="120" w:after="120"/>
        <w:ind w:left="2410" w:hanging="567"/>
        <w:rPr>
          <w:rFonts w:cs="Arial"/>
          <w:color w:val="000000"/>
        </w:rPr>
      </w:pPr>
      <w:r>
        <w:rPr>
          <w:rFonts w:cs="Arial"/>
        </w:rPr>
        <w:t>(b)</w:t>
      </w:r>
      <w:r>
        <w:rPr>
          <w:rFonts w:cs="Arial"/>
        </w:rPr>
        <w:tab/>
      </w:r>
      <w:proofErr w:type="gramStart"/>
      <w:r>
        <w:rPr>
          <w:rFonts w:cs="Arial"/>
        </w:rPr>
        <w:t>receiving</w:t>
      </w:r>
      <w:proofErr w:type="gramEnd"/>
      <w:r>
        <w:rPr>
          <w:rFonts w:cs="Arial"/>
        </w:rPr>
        <w:t xml:space="preserve"> an allowance under the SSA for that unemployment.</w:t>
      </w:r>
    </w:p>
    <w:p w:rsidR="003A7949" w:rsidRDefault="003A7949" w:rsidP="003A7949">
      <w:pPr>
        <w:adjustRightInd w:val="0"/>
        <w:spacing w:before="120" w:after="120"/>
        <w:ind w:left="1701" w:hanging="567"/>
        <w:jc w:val="both"/>
        <w:rPr>
          <w:rFonts w:cs="Arial"/>
          <w:lang w:eastAsia="en-US"/>
        </w:rPr>
      </w:pPr>
      <w:r>
        <w:rPr>
          <w:rFonts w:cs="Arial"/>
        </w:rPr>
        <w:t>6.</w:t>
      </w:r>
      <w:r>
        <w:rPr>
          <w:rFonts w:cs="Arial"/>
        </w:rPr>
        <w:tab/>
        <w:t xml:space="preserve">However, the Act recognises that there may be occasions where initial employment may not result in ongoing employment.  </w:t>
      </w:r>
    </w:p>
    <w:p w:rsidR="003A7949" w:rsidRDefault="003A7949" w:rsidP="003A7949">
      <w:pPr>
        <w:adjustRightInd w:val="0"/>
        <w:spacing w:before="120" w:after="120"/>
        <w:ind w:left="1701" w:hanging="567"/>
        <w:jc w:val="both"/>
        <w:rPr>
          <w:rFonts w:cs="Arial"/>
        </w:rPr>
      </w:pPr>
      <w:r>
        <w:rPr>
          <w:rFonts w:cs="Arial"/>
        </w:rPr>
        <w:t>7.</w:t>
      </w:r>
      <w:r>
        <w:rPr>
          <w:rFonts w:cs="Arial"/>
        </w:rPr>
        <w:tab/>
        <w:t xml:space="preserve">The Act therefore provides that, if at some period in the 12 months immediately prior to commencing employment, a person was not registered as unemployed or did not receive an allowance, the continuity of the 12 months eligibility test is not affected so long as the aggregate of the relevant period did not exceed four (4) weeks. </w:t>
      </w:r>
    </w:p>
    <w:p w:rsidR="00BF57BC" w:rsidRPr="00063029" w:rsidRDefault="00BF57BC" w:rsidP="00BF57BC">
      <w:pPr>
        <w:widowControl/>
        <w:suppressAutoHyphens w:val="0"/>
        <w:autoSpaceDE/>
        <w:autoSpaceDN/>
        <w:ind w:left="2268"/>
        <w:jc w:val="both"/>
        <w:textAlignment w:val="auto"/>
      </w:pPr>
    </w:p>
    <w:p w:rsidR="00861817" w:rsidRPr="00861817" w:rsidRDefault="00861817" w:rsidP="004262BA">
      <w:pPr>
        <w:jc w:val="both"/>
        <w:sectPr w:rsidR="00861817" w:rsidRPr="00861817" w:rsidSect="004E577D">
          <w:headerReference w:type="default" r:id="rId10"/>
          <w:footerReference w:type="default" r:id="rId11"/>
          <w:footerReference w:type="first" r:id="rId12"/>
          <w:pgSz w:w="11910" w:h="16840" w:code="9"/>
          <w:pgMar w:top="-9" w:right="1137" w:bottom="851" w:left="0" w:header="0" w:footer="318" w:gutter="0"/>
          <w:cols w:space="720"/>
          <w:titlePg/>
          <w:docGrid w:linePitch="326"/>
        </w:sectPr>
      </w:pPr>
    </w:p>
    <w:p w:rsidR="003A7949" w:rsidRPr="003A7949" w:rsidRDefault="003A7949" w:rsidP="003A7949">
      <w:pPr>
        <w:adjustRightInd w:val="0"/>
        <w:spacing w:before="120" w:after="120"/>
        <w:ind w:left="851"/>
        <w:outlineLvl w:val="1"/>
        <w:rPr>
          <w:rFonts w:cs="Arial"/>
          <w:b/>
          <w:bCs/>
        </w:rPr>
      </w:pPr>
      <w:r w:rsidRPr="003A7949">
        <w:rPr>
          <w:rFonts w:cs="Arial"/>
          <w:b/>
          <w:bCs/>
        </w:rPr>
        <w:lastRenderedPageBreak/>
        <w:t xml:space="preserve">Application of the exemption </w:t>
      </w:r>
    </w:p>
    <w:p w:rsidR="003A7949" w:rsidRPr="003A7949" w:rsidRDefault="003A7949" w:rsidP="003A7949">
      <w:pPr>
        <w:tabs>
          <w:tab w:val="left" w:pos="1418"/>
        </w:tabs>
        <w:adjustRightInd w:val="0"/>
        <w:spacing w:before="120" w:after="120"/>
        <w:ind w:left="1418" w:hanging="567"/>
        <w:jc w:val="both"/>
        <w:rPr>
          <w:rFonts w:cs="Arial"/>
        </w:rPr>
      </w:pPr>
      <w:r w:rsidRPr="003A7949">
        <w:rPr>
          <w:rFonts w:cs="Arial"/>
        </w:rPr>
        <w:t>8.</w:t>
      </w:r>
      <w:r w:rsidRPr="003A7949">
        <w:rPr>
          <w:rFonts w:cs="Arial"/>
        </w:rPr>
        <w:tab/>
        <w:t xml:space="preserve">Except for the circumstances set out above, the exemption is limited to the employer who initially employs the long-term unemployed person. </w:t>
      </w:r>
      <w:bookmarkStart w:id="0" w:name="_GoBack"/>
      <w:bookmarkEnd w:id="0"/>
    </w:p>
    <w:p w:rsidR="003A7949" w:rsidRPr="003A7949" w:rsidRDefault="003A7949" w:rsidP="003A7949">
      <w:pPr>
        <w:tabs>
          <w:tab w:val="left" w:pos="1418"/>
        </w:tabs>
        <w:adjustRightInd w:val="0"/>
        <w:spacing w:before="120" w:after="120"/>
        <w:ind w:left="1418" w:hanging="567"/>
        <w:jc w:val="both"/>
        <w:rPr>
          <w:rFonts w:cs="Arial"/>
        </w:rPr>
      </w:pPr>
      <w:r w:rsidRPr="003A7949">
        <w:rPr>
          <w:rFonts w:cs="Arial"/>
        </w:rPr>
        <w:t>9.</w:t>
      </w:r>
      <w:r w:rsidRPr="003A7949">
        <w:rPr>
          <w:rFonts w:cs="Arial"/>
        </w:rPr>
        <w:tab/>
        <w:t xml:space="preserve">Therefore if a long-term unemployed person is initially employed for a period of less than two years and changes employers, no payroll tax exemption will apply to the subsequent employer. </w:t>
      </w:r>
    </w:p>
    <w:p w:rsidR="003A7949" w:rsidRPr="003A7949" w:rsidRDefault="003A7949" w:rsidP="003A7949">
      <w:pPr>
        <w:adjustRightInd w:val="0"/>
        <w:spacing w:before="120" w:after="120"/>
        <w:ind w:left="851"/>
        <w:outlineLvl w:val="1"/>
        <w:rPr>
          <w:rFonts w:cs="Arial"/>
          <w:b/>
          <w:bCs/>
        </w:rPr>
      </w:pPr>
      <w:r w:rsidRPr="003A7949">
        <w:rPr>
          <w:rFonts w:cs="Arial"/>
          <w:b/>
          <w:bCs/>
        </w:rPr>
        <w:t xml:space="preserve">Supporting documentation </w:t>
      </w:r>
    </w:p>
    <w:p w:rsidR="003A7949" w:rsidRPr="003A7949" w:rsidRDefault="003A7949" w:rsidP="003A7949">
      <w:pPr>
        <w:tabs>
          <w:tab w:val="left" w:pos="1418"/>
        </w:tabs>
        <w:adjustRightInd w:val="0"/>
        <w:spacing w:before="120" w:after="120"/>
        <w:ind w:left="1418" w:hanging="567"/>
        <w:jc w:val="both"/>
        <w:rPr>
          <w:rFonts w:cs="Arial"/>
        </w:rPr>
      </w:pPr>
      <w:r w:rsidRPr="003A7949">
        <w:rPr>
          <w:rFonts w:cs="Arial"/>
        </w:rPr>
        <w:t>10.</w:t>
      </w:r>
      <w:r w:rsidRPr="003A7949">
        <w:rPr>
          <w:rFonts w:cs="Arial"/>
        </w:rPr>
        <w:tab/>
        <w:t>Employers must obtain from prospective employees, and have available for inspection, a letter or information issued by the Department of Families, Housing, Community Services and Indigenous Affairs (formerly the Department of Family and Community Services) or its agent (i.e. Centrelink) indicating the prospective employee satisfies the conditions set out above.</w:t>
      </w:r>
    </w:p>
    <w:p w:rsidR="008A28D0" w:rsidRDefault="008A28D0" w:rsidP="008A28D0">
      <w:pPr>
        <w:adjustRightInd w:val="0"/>
        <w:ind w:left="851"/>
        <w:rPr>
          <w:rFonts w:cs="Arial"/>
          <w:color w:val="000000"/>
        </w:rPr>
      </w:pPr>
    </w:p>
    <w:p w:rsidR="008A28D0" w:rsidRDefault="008A28D0" w:rsidP="008A28D0">
      <w:pPr>
        <w:adjustRightInd w:val="0"/>
        <w:ind w:left="851"/>
        <w:rPr>
          <w:rFonts w:cs="Arial"/>
          <w:bCs/>
          <w:lang w:eastAsia="en-US"/>
        </w:rPr>
      </w:pPr>
      <w:r>
        <w:rPr>
          <w:rFonts w:cs="Arial"/>
          <w:bCs/>
        </w:rPr>
        <w:t>SIGNED</w:t>
      </w:r>
    </w:p>
    <w:p w:rsidR="008A28D0" w:rsidRDefault="008A28D0" w:rsidP="008A28D0">
      <w:pPr>
        <w:adjustRightInd w:val="0"/>
        <w:ind w:left="851"/>
        <w:rPr>
          <w:rFonts w:cs="Arial"/>
          <w:bCs/>
        </w:rPr>
      </w:pPr>
    </w:p>
    <w:p w:rsidR="008A28D0" w:rsidRDefault="008A28D0" w:rsidP="008A28D0">
      <w:pPr>
        <w:adjustRightInd w:val="0"/>
        <w:ind w:left="851"/>
        <w:rPr>
          <w:rFonts w:cs="Arial"/>
          <w:bCs/>
        </w:rPr>
      </w:pPr>
      <w:r>
        <w:rPr>
          <w:rFonts w:cs="Arial"/>
          <w:bCs/>
        </w:rPr>
        <w:t>David Read</w:t>
      </w:r>
    </w:p>
    <w:p w:rsidR="008A28D0" w:rsidRDefault="008A28D0" w:rsidP="008A28D0">
      <w:pPr>
        <w:adjustRightInd w:val="0"/>
        <w:ind w:left="851"/>
        <w:rPr>
          <w:rFonts w:cs="Arial"/>
        </w:rPr>
      </w:pPr>
      <w:r>
        <w:rPr>
          <w:rFonts w:cs="Arial"/>
        </w:rPr>
        <w:t>Commissioner for ACT Revenue</w:t>
      </w:r>
    </w:p>
    <w:p w:rsidR="008A28D0" w:rsidRDefault="008A28D0" w:rsidP="008A28D0">
      <w:pPr>
        <w:adjustRightInd w:val="0"/>
        <w:ind w:left="851"/>
        <w:rPr>
          <w:rFonts w:cs="Arial"/>
        </w:rPr>
      </w:pPr>
      <w:r>
        <w:rPr>
          <w:rFonts w:cs="Arial"/>
        </w:rPr>
        <w:t xml:space="preserve">30 June 2011 </w:t>
      </w:r>
    </w:p>
    <w:p w:rsidR="008A28D0" w:rsidRDefault="008A28D0" w:rsidP="008A28D0">
      <w:pPr>
        <w:spacing w:before="120" w:after="120"/>
        <w:ind w:left="851" w:right="474"/>
        <w:rPr>
          <w:rFonts w:cs="Arial"/>
        </w:rPr>
      </w:pPr>
    </w:p>
    <w:p w:rsidR="00C75578" w:rsidRPr="000715D3" w:rsidRDefault="00C75578" w:rsidP="008A28D0">
      <w:pPr>
        <w:ind w:left="851"/>
        <w:outlineLvl w:val="1"/>
        <w:rPr>
          <w:rFonts w:cs="Arial"/>
        </w:rPr>
      </w:pPr>
    </w:p>
    <w:sectPr w:rsidR="00C75578" w:rsidRPr="000715D3" w:rsidSect="008A28D0">
      <w:footerReference w:type="even" r:id="rId13"/>
      <w:footerReference w:type="default" r:id="rId14"/>
      <w:headerReference w:type="first" r:id="rId15"/>
      <w:footerReference w:type="first" r:id="rId16"/>
      <w:pgSz w:w="11910" w:h="16840" w:code="9"/>
      <w:pgMar w:top="851" w:right="1278" w:bottom="1100" w:left="238"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67B" w:rsidRDefault="007B467B" w:rsidP="005B0828">
      <w:r>
        <w:separator/>
      </w:r>
    </w:p>
  </w:endnote>
  <w:endnote w:type="continuationSeparator" w:id="0">
    <w:p w:rsidR="007B467B" w:rsidRDefault="007B467B"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7B467B">
    <w:pPr>
      <w:pStyle w:val="BodyText"/>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Pr="00F44A8D" w:rsidRDefault="007B467B"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3C71F0" w:rsidP="007B467B">
    <w:pPr>
      <w:pStyle w:val="Footer"/>
      <w:framePr w:wrap="around" w:vAnchor="text" w:hAnchor="margin" w:xAlign="center" w:y="1"/>
      <w:rPr>
        <w:rStyle w:val="PageNumber"/>
      </w:rPr>
    </w:pPr>
    <w:r>
      <w:rPr>
        <w:rStyle w:val="PageNumber"/>
      </w:rPr>
      <w:fldChar w:fldCharType="begin"/>
    </w:r>
    <w:r w:rsidR="007B467B">
      <w:rPr>
        <w:rStyle w:val="PageNumber"/>
      </w:rPr>
      <w:instrText xml:space="preserve">PAGE  </w:instrText>
    </w:r>
    <w:r>
      <w:rPr>
        <w:rStyle w:val="PageNumber"/>
      </w:rPr>
      <w:fldChar w:fldCharType="end"/>
    </w:r>
  </w:p>
  <w:p w:rsidR="007B467B" w:rsidRDefault="007B46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7B467B" w:rsidP="007B467B">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F80CEA" w:rsidP="007B467B">
    <w:pPr>
      <w:pStyle w:val="Footer"/>
      <w:jc w:val="right"/>
    </w:pPr>
    <w:r>
      <w:fldChar w:fldCharType="begin"/>
    </w:r>
    <w:r>
      <w:instrText xml:space="preserve"> PAGE   \* MERGEFORMAT </w:instrText>
    </w:r>
    <w:r>
      <w:fldChar w:fldCharType="separate"/>
    </w:r>
    <w:r w:rsidR="00576D5C">
      <w:rPr>
        <w:noProof/>
      </w:rPr>
      <w:t>12</w:t>
    </w:r>
    <w:r>
      <w:rPr>
        <w:noProof/>
      </w:rPr>
      <w:fldChar w:fldCharType="end"/>
    </w:r>
  </w:p>
  <w:p w:rsidR="007B467B" w:rsidRPr="004F46AC" w:rsidRDefault="007B467B">
    <w:pPr>
      <w:pStyle w:val="Footer"/>
      <w:rPr>
        <w:rFonts w:cs="Arial"/>
        <w:color w:val="FFFFFF"/>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67B" w:rsidRDefault="007B467B" w:rsidP="005B0828">
      <w:r w:rsidRPr="005B0828">
        <w:rPr>
          <w:color w:val="000000"/>
        </w:rPr>
        <w:separator/>
      </w:r>
    </w:p>
  </w:footnote>
  <w:footnote w:type="continuationSeparator" w:id="0">
    <w:p w:rsidR="007B467B" w:rsidRDefault="007B467B"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7B467B" w:rsidP="00822F9C">
    <w:pPr>
      <w:pStyle w:val="Header"/>
      <w:tabs>
        <w:tab w:val="clear" w:pos="4513"/>
        <w:tab w:val="clear" w:pos="9026"/>
      </w:tabs>
      <w:ind w:left="-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Pr="007110A2" w:rsidRDefault="007B467B" w:rsidP="007B46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1BA40807"/>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nsid w:val="1C1345C5"/>
    <w:multiLevelType w:val="hybridMultilevel"/>
    <w:tmpl w:val="40D248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C285FE2"/>
    <w:multiLevelType w:val="hybridMultilevel"/>
    <w:tmpl w:val="461AC206"/>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4">
    <w:nsid w:val="2255574B"/>
    <w:multiLevelType w:val="hybridMultilevel"/>
    <w:tmpl w:val="22C2DB48"/>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29D451D6"/>
    <w:multiLevelType w:val="hybridMultilevel"/>
    <w:tmpl w:val="F18ADE8E"/>
    <w:lvl w:ilvl="0" w:tplc="85B0232A">
      <w:start w:val="1"/>
      <w:numFmt w:val="decimal"/>
      <w:lvlText w:val="%1."/>
      <w:lvlJc w:val="left"/>
      <w:pPr>
        <w:ind w:left="720" w:hanging="360"/>
      </w:pPr>
      <w:rPr>
        <w:rFonts w:cs="Times New Roman"/>
        <w:b w:val="0"/>
        <w:i w:val="0"/>
      </w:rPr>
    </w:lvl>
    <w:lvl w:ilvl="1" w:tplc="770C8140">
      <w:start w:val="1"/>
      <w:numFmt w:val="lowerLetter"/>
      <w:lvlText w:val="%2."/>
      <w:lvlJc w:val="left"/>
      <w:pPr>
        <w:ind w:left="2345" w:hanging="360"/>
      </w:pPr>
      <w:rPr>
        <w:rFonts w:cs="Times New Roman" w:hint="default"/>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6">
    <w:nsid w:val="3DBB66AF"/>
    <w:multiLevelType w:val="hybridMultilevel"/>
    <w:tmpl w:val="38C8D392"/>
    <w:lvl w:ilvl="0" w:tplc="E1565F5E">
      <w:start w:val="1"/>
      <w:numFmt w:val="lowerLetter"/>
      <w:lvlText w:val="(%1)"/>
      <w:lvlJc w:val="left"/>
      <w:pPr>
        <w:tabs>
          <w:tab w:val="num" w:pos="1440"/>
        </w:tabs>
        <w:ind w:left="1440" w:hanging="720"/>
      </w:pPr>
      <w:rPr>
        <w:rFonts w:cs="Times New Roman"/>
      </w:rPr>
    </w:lvl>
    <w:lvl w:ilvl="1" w:tplc="0C090019">
      <w:start w:val="1"/>
      <w:numFmt w:val="lowerLetter"/>
      <w:lvlText w:val="%2."/>
      <w:lvlJc w:val="left"/>
      <w:pPr>
        <w:tabs>
          <w:tab w:val="num" w:pos="1800"/>
        </w:tabs>
        <w:ind w:left="1800" w:hanging="360"/>
      </w:pPr>
      <w:rPr>
        <w:rFonts w:cs="Times New Roman"/>
      </w:rPr>
    </w:lvl>
    <w:lvl w:ilvl="2" w:tplc="0C09001B">
      <w:start w:val="1"/>
      <w:numFmt w:val="lowerRoman"/>
      <w:lvlText w:val="%3."/>
      <w:lvlJc w:val="right"/>
      <w:pPr>
        <w:tabs>
          <w:tab w:val="num" w:pos="2520"/>
        </w:tabs>
        <w:ind w:left="2520" w:hanging="180"/>
      </w:pPr>
      <w:rPr>
        <w:rFonts w:cs="Times New Roman"/>
      </w:rPr>
    </w:lvl>
    <w:lvl w:ilvl="3" w:tplc="0C09000F">
      <w:start w:val="1"/>
      <w:numFmt w:val="decimal"/>
      <w:lvlText w:val="%4."/>
      <w:lvlJc w:val="left"/>
      <w:pPr>
        <w:tabs>
          <w:tab w:val="num" w:pos="3240"/>
        </w:tabs>
        <w:ind w:left="3240" w:hanging="360"/>
      </w:pPr>
      <w:rPr>
        <w:rFonts w:cs="Times New Roman"/>
      </w:rPr>
    </w:lvl>
    <w:lvl w:ilvl="4" w:tplc="0C090019">
      <w:start w:val="1"/>
      <w:numFmt w:val="lowerLetter"/>
      <w:lvlText w:val="%5."/>
      <w:lvlJc w:val="left"/>
      <w:pPr>
        <w:tabs>
          <w:tab w:val="num" w:pos="3960"/>
        </w:tabs>
        <w:ind w:left="3960" w:hanging="360"/>
      </w:pPr>
      <w:rPr>
        <w:rFonts w:cs="Times New Roman"/>
      </w:rPr>
    </w:lvl>
    <w:lvl w:ilvl="5" w:tplc="0C09001B">
      <w:start w:val="1"/>
      <w:numFmt w:val="lowerRoman"/>
      <w:lvlText w:val="%6."/>
      <w:lvlJc w:val="right"/>
      <w:pPr>
        <w:tabs>
          <w:tab w:val="num" w:pos="4680"/>
        </w:tabs>
        <w:ind w:left="4680" w:hanging="180"/>
      </w:pPr>
      <w:rPr>
        <w:rFonts w:cs="Times New Roman"/>
      </w:rPr>
    </w:lvl>
    <w:lvl w:ilvl="6" w:tplc="0C09000F">
      <w:start w:val="1"/>
      <w:numFmt w:val="decimal"/>
      <w:lvlText w:val="%7."/>
      <w:lvlJc w:val="left"/>
      <w:pPr>
        <w:tabs>
          <w:tab w:val="num" w:pos="5400"/>
        </w:tabs>
        <w:ind w:left="5400" w:hanging="360"/>
      </w:pPr>
      <w:rPr>
        <w:rFonts w:cs="Times New Roman"/>
      </w:rPr>
    </w:lvl>
    <w:lvl w:ilvl="7" w:tplc="0C090019">
      <w:start w:val="1"/>
      <w:numFmt w:val="lowerLetter"/>
      <w:lvlText w:val="%8."/>
      <w:lvlJc w:val="left"/>
      <w:pPr>
        <w:tabs>
          <w:tab w:val="num" w:pos="6120"/>
        </w:tabs>
        <w:ind w:left="6120" w:hanging="360"/>
      </w:pPr>
      <w:rPr>
        <w:rFonts w:cs="Times New Roman"/>
      </w:rPr>
    </w:lvl>
    <w:lvl w:ilvl="8" w:tplc="0C09001B">
      <w:start w:val="1"/>
      <w:numFmt w:val="lowerRoman"/>
      <w:lvlText w:val="%9."/>
      <w:lvlJc w:val="right"/>
      <w:pPr>
        <w:tabs>
          <w:tab w:val="num" w:pos="6840"/>
        </w:tabs>
        <w:ind w:left="6840" w:hanging="180"/>
      </w:pPr>
      <w:rPr>
        <w:rFonts w:cs="Times New Roman"/>
      </w:rPr>
    </w:lvl>
  </w:abstractNum>
  <w:abstractNum w:abstractNumId="7">
    <w:nsid w:val="3FAA0D49"/>
    <w:multiLevelType w:val="hybridMultilevel"/>
    <w:tmpl w:val="74E4EB90"/>
    <w:lvl w:ilvl="0" w:tplc="0C090001">
      <w:start w:val="1"/>
      <w:numFmt w:val="bullet"/>
      <w:lvlText w:val=""/>
      <w:lvlJc w:val="left"/>
      <w:pPr>
        <w:tabs>
          <w:tab w:val="num" w:pos="1353"/>
        </w:tabs>
        <w:ind w:left="1353" w:hanging="360"/>
      </w:pPr>
      <w:rPr>
        <w:rFonts w:ascii="Symbol" w:hAnsi="Symbol" w:hint="default"/>
      </w:rPr>
    </w:lvl>
    <w:lvl w:ilvl="1" w:tplc="0C090003">
      <w:start w:val="1"/>
      <w:numFmt w:val="bullet"/>
      <w:lvlText w:val="o"/>
      <w:lvlJc w:val="left"/>
      <w:pPr>
        <w:tabs>
          <w:tab w:val="num" w:pos="2073"/>
        </w:tabs>
        <w:ind w:left="2073" w:hanging="360"/>
      </w:pPr>
      <w:rPr>
        <w:rFonts w:ascii="Courier New" w:hAnsi="Courier New" w:hint="default"/>
      </w:rPr>
    </w:lvl>
    <w:lvl w:ilvl="2" w:tplc="0C090005">
      <w:start w:val="1"/>
      <w:numFmt w:val="bullet"/>
      <w:lvlText w:val=""/>
      <w:lvlJc w:val="left"/>
      <w:pPr>
        <w:tabs>
          <w:tab w:val="num" w:pos="2793"/>
        </w:tabs>
        <w:ind w:left="2793" w:hanging="360"/>
      </w:pPr>
      <w:rPr>
        <w:rFonts w:ascii="Wingdings" w:hAnsi="Wingdings" w:hint="default"/>
      </w:rPr>
    </w:lvl>
    <w:lvl w:ilvl="3" w:tplc="0C090001" w:tentative="1">
      <w:start w:val="1"/>
      <w:numFmt w:val="bullet"/>
      <w:lvlText w:val=""/>
      <w:lvlJc w:val="left"/>
      <w:pPr>
        <w:tabs>
          <w:tab w:val="num" w:pos="3513"/>
        </w:tabs>
        <w:ind w:left="3513" w:hanging="360"/>
      </w:pPr>
      <w:rPr>
        <w:rFonts w:ascii="Symbol" w:hAnsi="Symbol" w:hint="default"/>
      </w:rPr>
    </w:lvl>
    <w:lvl w:ilvl="4" w:tplc="0C090003" w:tentative="1">
      <w:start w:val="1"/>
      <w:numFmt w:val="bullet"/>
      <w:lvlText w:val="o"/>
      <w:lvlJc w:val="left"/>
      <w:pPr>
        <w:tabs>
          <w:tab w:val="num" w:pos="4233"/>
        </w:tabs>
        <w:ind w:left="4233" w:hanging="360"/>
      </w:pPr>
      <w:rPr>
        <w:rFonts w:ascii="Courier New" w:hAnsi="Courier New" w:hint="default"/>
      </w:rPr>
    </w:lvl>
    <w:lvl w:ilvl="5" w:tplc="0C090005" w:tentative="1">
      <w:start w:val="1"/>
      <w:numFmt w:val="bullet"/>
      <w:lvlText w:val=""/>
      <w:lvlJc w:val="left"/>
      <w:pPr>
        <w:tabs>
          <w:tab w:val="num" w:pos="4953"/>
        </w:tabs>
        <w:ind w:left="4953" w:hanging="360"/>
      </w:pPr>
      <w:rPr>
        <w:rFonts w:ascii="Wingdings" w:hAnsi="Wingdings" w:hint="default"/>
      </w:rPr>
    </w:lvl>
    <w:lvl w:ilvl="6" w:tplc="0C090001" w:tentative="1">
      <w:start w:val="1"/>
      <w:numFmt w:val="bullet"/>
      <w:lvlText w:val=""/>
      <w:lvlJc w:val="left"/>
      <w:pPr>
        <w:tabs>
          <w:tab w:val="num" w:pos="5673"/>
        </w:tabs>
        <w:ind w:left="5673" w:hanging="360"/>
      </w:pPr>
      <w:rPr>
        <w:rFonts w:ascii="Symbol" w:hAnsi="Symbol" w:hint="default"/>
      </w:rPr>
    </w:lvl>
    <w:lvl w:ilvl="7" w:tplc="0C090003" w:tentative="1">
      <w:start w:val="1"/>
      <w:numFmt w:val="bullet"/>
      <w:lvlText w:val="o"/>
      <w:lvlJc w:val="left"/>
      <w:pPr>
        <w:tabs>
          <w:tab w:val="num" w:pos="6393"/>
        </w:tabs>
        <w:ind w:left="6393" w:hanging="360"/>
      </w:pPr>
      <w:rPr>
        <w:rFonts w:ascii="Courier New" w:hAnsi="Courier New" w:hint="default"/>
      </w:rPr>
    </w:lvl>
    <w:lvl w:ilvl="8" w:tplc="0C090005" w:tentative="1">
      <w:start w:val="1"/>
      <w:numFmt w:val="bullet"/>
      <w:lvlText w:val=""/>
      <w:lvlJc w:val="left"/>
      <w:pPr>
        <w:tabs>
          <w:tab w:val="num" w:pos="7113"/>
        </w:tabs>
        <w:ind w:left="7113" w:hanging="360"/>
      </w:pPr>
      <w:rPr>
        <w:rFonts w:ascii="Wingdings" w:hAnsi="Wingdings" w:hint="default"/>
      </w:rPr>
    </w:lvl>
  </w:abstractNum>
  <w:abstractNum w:abstractNumId="8">
    <w:nsid w:val="453845B3"/>
    <w:multiLevelType w:val="hybridMultilevel"/>
    <w:tmpl w:val="BA7CAABA"/>
    <w:lvl w:ilvl="0" w:tplc="2C2ABBE2">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nsid w:val="49DF2C45"/>
    <w:multiLevelType w:val="hybridMultilevel"/>
    <w:tmpl w:val="E256B0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5D170C23"/>
    <w:multiLevelType w:val="hybridMultilevel"/>
    <w:tmpl w:val="8F6EF0F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5E3728FA"/>
    <w:multiLevelType w:val="hybridMultilevel"/>
    <w:tmpl w:val="37C4C5B2"/>
    <w:lvl w:ilvl="0" w:tplc="FCBEB9FA">
      <w:start w:val="51"/>
      <w:numFmt w:val="bullet"/>
      <w:lvlText w:val="•"/>
      <w:lvlJc w:val="left"/>
      <w:pPr>
        <w:ind w:left="1069" w:hanging="360"/>
      </w:pPr>
      <w:rPr>
        <w:rFonts w:ascii="Calibri" w:eastAsia="Times New Roman" w:hAnsi="Calibri" w:cs="SymbolMT"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2">
    <w:nsid w:val="5ECB59DF"/>
    <w:multiLevelType w:val="hybridMultilevel"/>
    <w:tmpl w:val="F904D254"/>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3">
    <w:nsid w:val="60334DD5"/>
    <w:multiLevelType w:val="hybridMultilevel"/>
    <w:tmpl w:val="47D07F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67A87087"/>
    <w:multiLevelType w:val="hybridMultilevel"/>
    <w:tmpl w:val="67E666C8"/>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5">
    <w:nsid w:val="7AE20D07"/>
    <w:multiLevelType w:val="hybridMultilevel"/>
    <w:tmpl w:val="D3A02E94"/>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
  </w:num>
  <w:num w:numId="5">
    <w:abstractNumId w:val="5"/>
  </w:num>
  <w:num w:numId="6">
    <w:abstractNumId w:val="10"/>
  </w:num>
  <w:num w:numId="7">
    <w:abstractNumId w:val="2"/>
  </w:num>
  <w:num w:numId="8">
    <w:abstractNumId w:val="14"/>
  </w:num>
  <w:num w:numId="9">
    <w:abstractNumId w:val="13"/>
  </w:num>
  <w:num w:numId="10">
    <w:abstractNumId w:val="9"/>
  </w:num>
  <w:num w:numId="11">
    <w:abstractNumId w:val="4"/>
  </w:num>
  <w:num w:numId="12">
    <w:abstractNumId w:val="15"/>
  </w:num>
  <w:num w:numId="13">
    <w:abstractNumId w:val="7"/>
  </w:num>
  <w:num w:numId="14">
    <w:abstractNumId w:val="3"/>
  </w:num>
  <w:num w:numId="15">
    <w:abstractNumId w:val="12"/>
  </w:num>
  <w:num w:numId="16">
    <w:abstractNumId w:val="1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28"/>
    <w:rsid w:val="00063029"/>
    <w:rsid w:val="000D649E"/>
    <w:rsid w:val="000D64C3"/>
    <w:rsid w:val="00105197"/>
    <w:rsid w:val="00163CCB"/>
    <w:rsid w:val="00193116"/>
    <w:rsid w:val="001B5315"/>
    <w:rsid w:val="00210C1D"/>
    <w:rsid w:val="002240B1"/>
    <w:rsid w:val="00244887"/>
    <w:rsid w:val="002713A8"/>
    <w:rsid w:val="00275FAE"/>
    <w:rsid w:val="0030677F"/>
    <w:rsid w:val="00310E54"/>
    <w:rsid w:val="00341AF6"/>
    <w:rsid w:val="00391CB7"/>
    <w:rsid w:val="003A7949"/>
    <w:rsid w:val="003C71F0"/>
    <w:rsid w:val="003D623B"/>
    <w:rsid w:val="003E285F"/>
    <w:rsid w:val="004262BA"/>
    <w:rsid w:val="004C477A"/>
    <w:rsid w:val="004E4136"/>
    <w:rsid w:val="004E577D"/>
    <w:rsid w:val="00537051"/>
    <w:rsid w:val="00576D5C"/>
    <w:rsid w:val="005B0828"/>
    <w:rsid w:val="00682A86"/>
    <w:rsid w:val="00692CD4"/>
    <w:rsid w:val="006B0ECA"/>
    <w:rsid w:val="006B2035"/>
    <w:rsid w:val="00712A2B"/>
    <w:rsid w:val="00767E92"/>
    <w:rsid w:val="00773F5B"/>
    <w:rsid w:val="007B467B"/>
    <w:rsid w:val="00822F9C"/>
    <w:rsid w:val="00861817"/>
    <w:rsid w:val="008A28D0"/>
    <w:rsid w:val="008A72D3"/>
    <w:rsid w:val="008B1CDE"/>
    <w:rsid w:val="008E4C38"/>
    <w:rsid w:val="0096709E"/>
    <w:rsid w:val="009955D1"/>
    <w:rsid w:val="00A17F5F"/>
    <w:rsid w:val="00A50562"/>
    <w:rsid w:val="00A61156"/>
    <w:rsid w:val="00A812EA"/>
    <w:rsid w:val="00AA3E6E"/>
    <w:rsid w:val="00AD4741"/>
    <w:rsid w:val="00AF7801"/>
    <w:rsid w:val="00B4488E"/>
    <w:rsid w:val="00B87EF3"/>
    <w:rsid w:val="00BB2D4C"/>
    <w:rsid w:val="00BB7D19"/>
    <w:rsid w:val="00BE0B6D"/>
    <w:rsid w:val="00BF57BC"/>
    <w:rsid w:val="00BF64D2"/>
    <w:rsid w:val="00C24521"/>
    <w:rsid w:val="00C75578"/>
    <w:rsid w:val="00C82405"/>
    <w:rsid w:val="00C8554F"/>
    <w:rsid w:val="00CD0ACD"/>
    <w:rsid w:val="00CD6913"/>
    <w:rsid w:val="00D908F9"/>
    <w:rsid w:val="00DA0B26"/>
    <w:rsid w:val="00DA6ED5"/>
    <w:rsid w:val="00F44A8D"/>
    <w:rsid w:val="00F80CEA"/>
    <w:rsid w:val="00F822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99"/>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table" w:styleId="TableGrid">
    <w:name w:val="Table Grid"/>
    <w:basedOn w:val="TableNormal"/>
    <w:uiPriority w:val="99"/>
    <w:rsid w:val="007B467B"/>
    <w:pPr>
      <w:autoSpaceDN/>
      <w:spacing w:after="0" w:line="240" w:lineRule="auto"/>
      <w:textAlignment w:val="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7B467B"/>
    <w:rPr>
      <w:rFonts w:cs="Times New Roman"/>
    </w:rPr>
  </w:style>
  <w:style w:type="paragraph" w:customStyle="1" w:styleId="Level2">
    <w:name w:val="Level 2"/>
    <w:basedOn w:val="Normal"/>
    <w:uiPriority w:val="99"/>
    <w:rsid w:val="007B467B"/>
    <w:pPr>
      <w:widowControl/>
      <w:suppressAutoHyphens w:val="0"/>
      <w:autoSpaceDE/>
      <w:autoSpaceDN/>
      <w:spacing w:line="240" w:lineRule="atLeast"/>
      <w:textAlignment w:val="auto"/>
    </w:pPr>
    <w:rPr>
      <w:rFonts w:ascii="Arial" w:eastAsia="Times" w:hAnsi="Arial" w:cs="Arial"/>
      <w:bCs/>
      <w:color w:val="808000"/>
      <w:sz w:val="28"/>
      <w:szCs w:val="28"/>
      <w:lang w:eastAsia="en-US"/>
    </w:rPr>
  </w:style>
  <w:style w:type="paragraph" w:customStyle="1" w:styleId="NormalText">
    <w:name w:val="Normal Text"/>
    <w:basedOn w:val="Normal"/>
    <w:uiPriority w:val="99"/>
    <w:rsid w:val="007B467B"/>
    <w:pPr>
      <w:widowControl/>
      <w:suppressAutoHyphens w:val="0"/>
      <w:adjustRightInd w:val="0"/>
      <w:jc w:val="both"/>
      <w:textAlignment w:val="auto"/>
    </w:pPr>
    <w:rPr>
      <w:rFonts w:ascii="Arial" w:hAnsi="Arial" w:cs="Arial"/>
      <w:color w:val="000000"/>
      <w:sz w:val="22"/>
      <w:szCs w:val="22"/>
    </w:rPr>
  </w:style>
  <w:style w:type="paragraph" w:customStyle="1" w:styleId="OSRBodyText">
    <w:name w:val="OSR Body Text"/>
    <w:basedOn w:val="Normal"/>
    <w:uiPriority w:val="99"/>
    <w:rsid w:val="00576D5C"/>
    <w:pPr>
      <w:widowControl/>
      <w:suppressAutoHyphens w:val="0"/>
      <w:autoSpaceDE/>
      <w:autoSpaceDN/>
      <w:spacing w:after="220"/>
      <w:textAlignment w:val="auto"/>
    </w:pPr>
    <w:rPr>
      <w:rFonts w:ascii="Arial" w:eastAsia="Times" w:hAnsi="Arial" w:cs="Arial"/>
      <w:sz w:val="22"/>
      <w:lang w:eastAsia="en-US"/>
    </w:rPr>
  </w:style>
  <w:style w:type="paragraph" w:customStyle="1" w:styleId="Default">
    <w:name w:val="Default"/>
    <w:uiPriority w:val="99"/>
    <w:rsid w:val="00BF57BC"/>
    <w:pPr>
      <w:autoSpaceDE w:val="0"/>
      <w:adjustRightInd w:val="0"/>
      <w:spacing w:after="0" w:line="240" w:lineRule="auto"/>
      <w:textAlignment w:val="auto"/>
    </w:pPr>
    <w:rPr>
      <w:rFonts w:ascii="Times New Roman" w:eastAsia="Times"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99"/>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table" w:styleId="TableGrid">
    <w:name w:val="Table Grid"/>
    <w:basedOn w:val="TableNormal"/>
    <w:uiPriority w:val="99"/>
    <w:rsid w:val="007B467B"/>
    <w:pPr>
      <w:autoSpaceDN/>
      <w:spacing w:after="0" w:line="240" w:lineRule="auto"/>
      <w:textAlignment w:val="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7B467B"/>
    <w:rPr>
      <w:rFonts w:cs="Times New Roman"/>
    </w:rPr>
  </w:style>
  <w:style w:type="paragraph" w:customStyle="1" w:styleId="Level2">
    <w:name w:val="Level 2"/>
    <w:basedOn w:val="Normal"/>
    <w:uiPriority w:val="99"/>
    <w:rsid w:val="007B467B"/>
    <w:pPr>
      <w:widowControl/>
      <w:suppressAutoHyphens w:val="0"/>
      <w:autoSpaceDE/>
      <w:autoSpaceDN/>
      <w:spacing w:line="240" w:lineRule="atLeast"/>
      <w:textAlignment w:val="auto"/>
    </w:pPr>
    <w:rPr>
      <w:rFonts w:ascii="Arial" w:eastAsia="Times" w:hAnsi="Arial" w:cs="Arial"/>
      <w:bCs/>
      <w:color w:val="808000"/>
      <w:sz w:val="28"/>
      <w:szCs w:val="28"/>
      <w:lang w:eastAsia="en-US"/>
    </w:rPr>
  </w:style>
  <w:style w:type="paragraph" w:customStyle="1" w:styleId="NormalText">
    <w:name w:val="Normal Text"/>
    <w:basedOn w:val="Normal"/>
    <w:uiPriority w:val="99"/>
    <w:rsid w:val="007B467B"/>
    <w:pPr>
      <w:widowControl/>
      <w:suppressAutoHyphens w:val="0"/>
      <w:adjustRightInd w:val="0"/>
      <w:jc w:val="both"/>
      <w:textAlignment w:val="auto"/>
    </w:pPr>
    <w:rPr>
      <w:rFonts w:ascii="Arial" w:hAnsi="Arial" w:cs="Arial"/>
      <w:color w:val="000000"/>
      <w:sz w:val="22"/>
      <w:szCs w:val="22"/>
    </w:rPr>
  </w:style>
  <w:style w:type="paragraph" w:customStyle="1" w:styleId="OSRBodyText">
    <w:name w:val="OSR Body Text"/>
    <w:basedOn w:val="Normal"/>
    <w:uiPriority w:val="99"/>
    <w:rsid w:val="00576D5C"/>
    <w:pPr>
      <w:widowControl/>
      <w:suppressAutoHyphens w:val="0"/>
      <w:autoSpaceDE/>
      <w:autoSpaceDN/>
      <w:spacing w:after="220"/>
      <w:textAlignment w:val="auto"/>
    </w:pPr>
    <w:rPr>
      <w:rFonts w:ascii="Arial" w:eastAsia="Times" w:hAnsi="Arial" w:cs="Arial"/>
      <w:sz w:val="22"/>
      <w:lang w:eastAsia="en-US"/>
    </w:rPr>
  </w:style>
  <w:style w:type="paragraph" w:customStyle="1" w:styleId="Default">
    <w:name w:val="Default"/>
    <w:uiPriority w:val="99"/>
    <w:rsid w:val="00BF57BC"/>
    <w:pPr>
      <w:autoSpaceDE w:val="0"/>
      <w:adjustRightInd w:val="0"/>
      <w:spacing w:after="0" w:line="240" w:lineRule="auto"/>
      <w:textAlignment w:val="auto"/>
    </w:pPr>
    <w:rPr>
      <w:rFonts w:ascii="Times New Roman" w:eastAsia="Times"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3374">
      <w:bodyDiv w:val="1"/>
      <w:marLeft w:val="0"/>
      <w:marRight w:val="0"/>
      <w:marTop w:val="0"/>
      <w:marBottom w:val="0"/>
      <w:divBdr>
        <w:top w:val="none" w:sz="0" w:space="0" w:color="auto"/>
        <w:left w:val="none" w:sz="0" w:space="0" w:color="auto"/>
        <w:bottom w:val="none" w:sz="0" w:space="0" w:color="auto"/>
        <w:right w:val="none" w:sz="0" w:space="0" w:color="auto"/>
      </w:divBdr>
    </w:div>
    <w:div w:id="395517441">
      <w:bodyDiv w:val="1"/>
      <w:marLeft w:val="0"/>
      <w:marRight w:val="0"/>
      <w:marTop w:val="0"/>
      <w:marBottom w:val="0"/>
      <w:divBdr>
        <w:top w:val="none" w:sz="0" w:space="0" w:color="auto"/>
        <w:left w:val="none" w:sz="0" w:space="0" w:color="auto"/>
        <w:bottom w:val="none" w:sz="0" w:space="0" w:color="auto"/>
        <w:right w:val="none" w:sz="0" w:space="0" w:color="auto"/>
      </w:divBdr>
    </w:div>
    <w:div w:id="458499927">
      <w:bodyDiv w:val="1"/>
      <w:marLeft w:val="0"/>
      <w:marRight w:val="0"/>
      <w:marTop w:val="0"/>
      <w:marBottom w:val="0"/>
      <w:divBdr>
        <w:top w:val="none" w:sz="0" w:space="0" w:color="auto"/>
        <w:left w:val="none" w:sz="0" w:space="0" w:color="auto"/>
        <w:bottom w:val="none" w:sz="0" w:space="0" w:color="auto"/>
        <w:right w:val="none" w:sz="0" w:space="0" w:color="auto"/>
      </w:divBdr>
    </w:div>
    <w:div w:id="732235709">
      <w:bodyDiv w:val="1"/>
      <w:marLeft w:val="0"/>
      <w:marRight w:val="0"/>
      <w:marTop w:val="0"/>
      <w:marBottom w:val="0"/>
      <w:divBdr>
        <w:top w:val="none" w:sz="0" w:space="0" w:color="auto"/>
        <w:left w:val="none" w:sz="0" w:space="0" w:color="auto"/>
        <w:bottom w:val="none" w:sz="0" w:space="0" w:color="auto"/>
        <w:right w:val="none" w:sz="0" w:space="0" w:color="auto"/>
      </w:divBdr>
    </w:div>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005937381">
      <w:bodyDiv w:val="1"/>
      <w:marLeft w:val="0"/>
      <w:marRight w:val="0"/>
      <w:marTop w:val="0"/>
      <w:marBottom w:val="0"/>
      <w:divBdr>
        <w:top w:val="none" w:sz="0" w:space="0" w:color="auto"/>
        <w:left w:val="none" w:sz="0" w:space="0" w:color="auto"/>
        <w:bottom w:val="none" w:sz="0" w:space="0" w:color="auto"/>
        <w:right w:val="none" w:sz="0" w:space="0" w:color="auto"/>
      </w:divBdr>
    </w:div>
    <w:div w:id="1083843904">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07069">
      <w:bodyDiv w:val="1"/>
      <w:marLeft w:val="0"/>
      <w:marRight w:val="0"/>
      <w:marTop w:val="0"/>
      <w:marBottom w:val="0"/>
      <w:divBdr>
        <w:top w:val="none" w:sz="0" w:space="0" w:color="auto"/>
        <w:left w:val="none" w:sz="0" w:space="0" w:color="auto"/>
        <w:bottom w:val="none" w:sz="0" w:space="0" w:color="auto"/>
        <w:right w:val="none" w:sz="0" w:space="0" w:color="auto"/>
      </w:divBdr>
    </w:div>
    <w:div w:id="1580094226">
      <w:bodyDiv w:val="1"/>
      <w:marLeft w:val="0"/>
      <w:marRight w:val="0"/>
      <w:marTop w:val="0"/>
      <w:marBottom w:val="0"/>
      <w:divBdr>
        <w:top w:val="none" w:sz="0" w:space="0" w:color="auto"/>
        <w:left w:val="none" w:sz="0" w:space="0" w:color="auto"/>
        <w:bottom w:val="none" w:sz="0" w:space="0" w:color="auto"/>
        <w:right w:val="none" w:sz="0" w:space="0" w:color="auto"/>
      </w:divBdr>
    </w:div>
    <w:div w:id="1595750641">
      <w:bodyDiv w:val="1"/>
      <w:marLeft w:val="0"/>
      <w:marRight w:val="0"/>
      <w:marTop w:val="0"/>
      <w:marBottom w:val="0"/>
      <w:divBdr>
        <w:top w:val="none" w:sz="0" w:space="0" w:color="auto"/>
        <w:left w:val="none" w:sz="0" w:space="0" w:color="auto"/>
        <w:bottom w:val="none" w:sz="0" w:space="0" w:color="auto"/>
        <w:right w:val="none" w:sz="0" w:space="0" w:color="auto"/>
      </w:divBdr>
    </w:div>
    <w:div w:id="1816407576">
      <w:bodyDiv w:val="1"/>
      <w:marLeft w:val="0"/>
      <w:marRight w:val="0"/>
      <w:marTop w:val="0"/>
      <w:marBottom w:val="0"/>
      <w:divBdr>
        <w:top w:val="none" w:sz="0" w:space="0" w:color="auto"/>
        <w:left w:val="none" w:sz="0" w:space="0" w:color="auto"/>
        <w:bottom w:val="none" w:sz="0" w:space="0" w:color="auto"/>
        <w:right w:val="none" w:sz="0" w:space="0" w:color="auto"/>
      </w:divBdr>
    </w:div>
    <w:div w:id="1905026389">
      <w:bodyDiv w:val="1"/>
      <w:marLeft w:val="0"/>
      <w:marRight w:val="0"/>
      <w:marTop w:val="0"/>
      <w:marBottom w:val="0"/>
      <w:divBdr>
        <w:top w:val="none" w:sz="0" w:space="0" w:color="auto"/>
        <w:left w:val="none" w:sz="0" w:space="0" w:color="auto"/>
        <w:bottom w:val="none" w:sz="0" w:space="0" w:color="auto"/>
        <w:right w:val="none" w:sz="0" w:space="0" w:color="auto"/>
      </w:divBdr>
    </w:div>
    <w:div w:id="2011594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A04F2-3E38-4550-96DF-A482C974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Zilic</dc:creator>
  <cp:lastModifiedBy>Teja</cp:lastModifiedBy>
  <cp:revision>4</cp:revision>
  <cp:lastPrinted>2017-05-08T23:51:00Z</cp:lastPrinted>
  <dcterms:created xsi:type="dcterms:W3CDTF">2017-05-20T11:08:00Z</dcterms:created>
  <dcterms:modified xsi:type="dcterms:W3CDTF">2017-05-20T11:13:00Z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