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1A032A" w:rsidP="00071479">
      <w:pPr>
        <w:pStyle w:val="BodyText"/>
        <w:overflowPunct w:val="0"/>
        <w:ind w:left="-238"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 style="mso-next-textbox:#Text Box 3">
              <w:txbxContent>
                <w:p w:rsidR="00071479" w:rsidRPr="006B0ECA" w:rsidRDefault="00071479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 style="mso-next-textbox:#Rectangle 8">
              <w:txbxContent>
                <w:p w:rsidR="00071479" w:rsidRPr="00D908F9" w:rsidRDefault="00071479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Default="006B0ECA" w:rsidP="00071479">
      <w:pPr>
        <w:ind w:left="993" w:right="-1135"/>
        <w:jc w:val="both"/>
        <w:rPr>
          <w:rFonts w:asciiTheme="minorHAnsi" w:hAnsiTheme="minorHAnsi"/>
        </w:rPr>
      </w:pPr>
    </w:p>
    <w:tbl>
      <w:tblPr>
        <w:tblW w:w="437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480"/>
      </w:tblGrid>
      <w:tr w:rsidR="006E75A4" w:rsidRPr="00404085" w:rsidTr="007542FF">
        <w:trPr>
          <w:cantSplit/>
        </w:trPr>
        <w:tc>
          <w:tcPr>
            <w:tcW w:w="935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6E75A4" w:rsidRPr="00705A5A" w:rsidRDefault="006E75A4" w:rsidP="007542F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PTA030</w:t>
            </w:r>
          </w:p>
        </w:tc>
      </w:tr>
      <w:tr w:rsidR="006E75A4" w:rsidRPr="00404085" w:rsidTr="007542FF">
        <w:trPr>
          <w:cantSplit/>
        </w:trPr>
        <w:tc>
          <w:tcPr>
            <w:tcW w:w="935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6E75A4" w:rsidRPr="00404085" w:rsidRDefault="006E75A4" w:rsidP="007542F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Penalty Charges Under Superannuation Guarantee Charge – </w:t>
            </w:r>
            <w:r w:rsidRPr="00F44A8D">
              <w:rPr>
                <w:i/>
                <w:lang w:eastAsia="en-US"/>
              </w:rPr>
              <w:t>Payroll Tax Act 2011</w:t>
            </w:r>
          </w:p>
        </w:tc>
      </w:tr>
      <w:tr w:rsidR="006E75A4" w:rsidRPr="00404085" w:rsidTr="007542FF">
        <w:trPr>
          <w:cantSplit/>
        </w:trPr>
        <w:tc>
          <w:tcPr>
            <w:tcW w:w="935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6E75A4" w:rsidRPr="00404085" w:rsidRDefault="006E75A4" w:rsidP="007542F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Issue Date: 25 February 2016</w:t>
            </w:r>
          </w:p>
        </w:tc>
      </w:tr>
      <w:tr w:rsidR="006E75A4" w:rsidRPr="00404085" w:rsidTr="007542FF">
        <w:trPr>
          <w:cantSplit/>
        </w:trPr>
        <w:tc>
          <w:tcPr>
            <w:tcW w:w="935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6E75A4" w:rsidRPr="00404085" w:rsidRDefault="006E75A4" w:rsidP="007542FF">
            <w:pPr>
              <w:jc w:val="both"/>
            </w:pPr>
            <w:r>
              <w:t>Status: Current – Effective 29 February 2016</w:t>
            </w:r>
          </w:p>
        </w:tc>
      </w:tr>
      <w:tr w:rsidR="006E75A4" w:rsidRPr="00404085" w:rsidTr="007542FF">
        <w:trPr>
          <w:cantSplit/>
        </w:trPr>
        <w:tc>
          <w:tcPr>
            <w:tcW w:w="935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6E75A4" w:rsidRDefault="006E75A4" w:rsidP="007542FF">
            <w:pPr>
              <w:jc w:val="both"/>
            </w:pPr>
            <w:r>
              <w:t>Previous Circular: -</w:t>
            </w:r>
          </w:p>
        </w:tc>
      </w:tr>
    </w:tbl>
    <w:p w:rsidR="006E75A4" w:rsidRPr="00AD4741" w:rsidRDefault="006E75A4" w:rsidP="006E75A4">
      <w:pPr>
        <w:pStyle w:val="Heading1"/>
        <w:spacing w:before="60" w:after="60" w:line="240" w:lineRule="auto"/>
        <w:ind w:left="1701" w:hanging="567"/>
        <w:jc w:val="both"/>
      </w:pPr>
      <w:r>
        <w:t>Preamble</w:t>
      </w:r>
    </w:p>
    <w:p w:rsidR="006E75A4" w:rsidRDefault="006E75A4" w:rsidP="006E75A4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60" w:after="60"/>
        <w:ind w:left="1701" w:hanging="567"/>
        <w:jc w:val="both"/>
        <w:textAlignment w:val="auto"/>
      </w:pPr>
      <w:r w:rsidRPr="008430DF">
        <w:t xml:space="preserve">Under section 17 (1) of the </w:t>
      </w:r>
      <w:r w:rsidRPr="00440ED6">
        <w:rPr>
          <w:i/>
        </w:rPr>
        <w:t>Payroll Tax Act 2011</w:t>
      </w:r>
      <w:r w:rsidRPr="00440ED6">
        <w:t xml:space="preserve"> (the Act)</w:t>
      </w:r>
      <w:r w:rsidRPr="008430DF">
        <w:t xml:space="preserve">, </w:t>
      </w:r>
      <w:r w:rsidRPr="002D0492">
        <w:rPr>
          <w:b/>
          <w:i/>
        </w:rPr>
        <w:t>wages</w:t>
      </w:r>
      <w:r w:rsidRPr="008430DF">
        <w:t xml:space="preserve"> include superannuation contributions that employers pay, or are liable to pay, in respect of their employees, deemed employees and directors. Therefore, superannuation contributions are subject to payroll tax.</w:t>
      </w:r>
    </w:p>
    <w:p w:rsidR="006E75A4" w:rsidRPr="008430DF" w:rsidRDefault="006E75A4" w:rsidP="006E75A4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60" w:after="60"/>
        <w:ind w:left="1701" w:hanging="567"/>
        <w:jc w:val="both"/>
        <w:textAlignment w:val="auto"/>
      </w:pPr>
      <w:r w:rsidRPr="008430DF">
        <w:t xml:space="preserve">One of the items listed in the definition of </w:t>
      </w:r>
      <w:r w:rsidRPr="008430DF">
        <w:rPr>
          <w:b/>
          <w:i/>
        </w:rPr>
        <w:t>superannuation contributions</w:t>
      </w:r>
      <w:r w:rsidRPr="008430DF">
        <w:t xml:space="preserve"> in section 17</w:t>
      </w:r>
      <w:r>
        <w:t xml:space="preserve"> (2)</w:t>
      </w:r>
      <w:r w:rsidRPr="008430DF">
        <w:t xml:space="preserve"> of the Act is superannuation guarantee charge </w:t>
      </w:r>
      <w:r>
        <w:t>under</w:t>
      </w:r>
      <w:r w:rsidRPr="008430DF">
        <w:t xml:space="preserve"> the </w:t>
      </w:r>
      <w:r w:rsidRPr="008430DF">
        <w:rPr>
          <w:i/>
        </w:rPr>
        <w:t>Superannuation Guarantee (Administration) Act 1992</w:t>
      </w:r>
      <w:r w:rsidRPr="008430DF">
        <w:t xml:space="preserve"> (</w:t>
      </w:r>
      <w:proofErr w:type="spellStart"/>
      <w:r w:rsidRPr="008430DF">
        <w:t>C</w:t>
      </w:r>
      <w:r>
        <w:t>wl</w:t>
      </w:r>
      <w:r w:rsidRPr="008430DF">
        <w:t>th</w:t>
      </w:r>
      <w:proofErr w:type="spellEnd"/>
      <w:r w:rsidRPr="008430DF">
        <w:t>) (SGA Act).</w:t>
      </w:r>
    </w:p>
    <w:p w:rsidR="006E75A4" w:rsidRDefault="006E75A4" w:rsidP="006E75A4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60" w:after="60"/>
        <w:ind w:left="1701" w:hanging="567"/>
        <w:jc w:val="both"/>
        <w:textAlignment w:val="auto"/>
      </w:pPr>
      <w:r>
        <w:t>The purpose of this</w:t>
      </w:r>
      <w:r w:rsidRPr="005F057E">
        <w:t xml:space="preserve"> Revenue </w:t>
      </w:r>
      <w:r>
        <w:t>Circular is to clarify which components of a superannuation guarantee charge are subject to payroll tax.</w:t>
      </w:r>
    </w:p>
    <w:p w:rsidR="006E75A4" w:rsidRPr="00674942" w:rsidRDefault="006E75A4" w:rsidP="006E75A4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60" w:after="60"/>
        <w:ind w:left="1701" w:hanging="567"/>
        <w:jc w:val="both"/>
        <w:textAlignment w:val="auto"/>
      </w:pPr>
      <w:r>
        <w:t>As at the date of issue, this circular is harmonised with NSW Revenue Ruling PTA030 (effective 1 July 2007) and Victorian Revenue Ruling PTA030 (effective 1 July 2007).</w:t>
      </w:r>
    </w:p>
    <w:p w:rsidR="006E75A4" w:rsidRPr="00AD4741" w:rsidRDefault="006E75A4" w:rsidP="006E75A4">
      <w:pPr>
        <w:pStyle w:val="Heading1"/>
        <w:spacing w:before="0" w:line="240" w:lineRule="auto"/>
        <w:ind w:left="1134" w:firstLine="0"/>
        <w:jc w:val="both"/>
        <w:rPr>
          <w:rFonts w:asciiTheme="minorHAnsi" w:hAnsiTheme="minorHAnsi"/>
        </w:rPr>
      </w:pPr>
      <w:r w:rsidRPr="00AD4741">
        <w:rPr>
          <w:rFonts w:asciiTheme="minorHAnsi" w:hAnsiTheme="minorHAnsi"/>
        </w:rPr>
        <w:t>Circular</w:t>
      </w:r>
    </w:p>
    <w:p w:rsidR="006E75A4" w:rsidRPr="00564BD6" w:rsidRDefault="006E75A4" w:rsidP="006E75A4">
      <w:pPr>
        <w:pStyle w:val="Heading2"/>
        <w:spacing w:before="60" w:after="60"/>
        <w:ind w:left="1134" w:firstLine="0"/>
      </w:pPr>
      <w:r>
        <w:t>Superannuation guarantee charge</w:t>
      </w:r>
    </w:p>
    <w:p w:rsidR="006E75A4" w:rsidRPr="00A15B21" w:rsidRDefault="006E75A4" w:rsidP="006E75A4">
      <w:pPr>
        <w:widowControl/>
        <w:numPr>
          <w:ilvl w:val="0"/>
          <w:numId w:val="2"/>
        </w:numPr>
        <w:suppressAutoHyphens w:val="0"/>
        <w:adjustRightInd w:val="0"/>
        <w:spacing w:before="60" w:after="60"/>
        <w:ind w:left="1701" w:hanging="567"/>
        <w:jc w:val="both"/>
        <w:textAlignment w:val="auto"/>
      </w:pPr>
      <w:r w:rsidRPr="00A15B21">
        <w:t>Superannuation guarantee charge is made up of:</w:t>
      </w:r>
    </w:p>
    <w:p w:rsidR="006E75A4" w:rsidRPr="00A15B21" w:rsidRDefault="006E75A4" w:rsidP="006E75A4">
      <w:pPr>
        <w:widowControl/>
        <w:numPr>
          <w:ilvl w:val="1"/>
          <w:numId w:val="6"/>
        </w:numPr>
        <w:suppressAutoHyphens w:val="0"/>
        <w:adjustRightInd w:val="0"/>
        <w:spacing w:before="60" w:after="60"/>
        <w:ind w:left="2410" w:hanging="425"/>
        <w:jc w:val="both"/>
        <w:textAlignment w:val="auto"/>
      </w:pPr>
      <w:r w:rsidRPr="00A15B21">
        <w:t>the total of the employer’s individual superannuation guarantee</w:t>
      </w:r>
      <w:r>
        <w:t xml:space="preserve"> charge shortfalls for the year;</w:t>
      </w:r>
    </w:p>
    <w:p w:rsidR="006E75A4" w:rsidRPr="00A15B21" w:rsidRDefault="006E75A4" w:rsidP="006E75A4">
      <w:pPr>
        <w:widowControl/>
        <w:numPr>
          <w:ilvl w:val="1"/>
          <w:numId w:val="6"/>
        </w:numPr>
        <w:suppressAutoHyphens w:val="0"/>
        <w:adjustRightInd w:val="0"/>
        <w:spacing w:before="60" w:after="60"/>
        <w:ind w:left="2410" w:hanging="425"/>
        <w:jc w:val="both"/>
        <w:textAlignment w:val="auto"/>
      </w:pPr>
      <w:r w:rsidRPr="00A15B21">
        <w:t xml:space="preserve">the employer’s nominal </w:t>
      </w:r>
      <w:r>
        <w:t>interest component for the year;</w:t>
      </w:r>
      <w:r w:rsidRPr="00A15B21">
        <w:t xml:space="preserve"> and</w:t>
      </w:r>
    </w:p>
    <w:p w:rsidR="006E75A4" w:rsidRPr="00A15B21" w:rsidRDefault="006E75A4" w:rsidP="006E75A4">
      <w:pPr>
        <w:widowControl/>
        <w:numPr>
          <w:ilvl w:val="1"/>
          <w:numId w:val="6"/>
        </w:numPr>
        <w:suppressAutoHyphens w:val="0"/>
        <w:adjustRightInd w:val="0"/>
        <w:spacing w:before="60" w:after="60"/>
        <w:ind w:left="2410" w:hanging="425"/>
        <w:jc w:val="both"/>
        <w:textAlignment w:val="auto"/>
      </w:pPr>
      <w:proofErr w:type="gramStart"/>
      <w:r w:rsidRPr="00A15B21">
        <w:t>the</w:t>
      </w:r>
      <w:proofErr w:type="gramEnd"/>
      <w:r w:rsidRPr="00A15B21">
        <w:t xml:space="preserve"> employer’s administration component for the year.</w:t>
      </w:r>
    </w:p>
    <w:p w:rsidR="006E75A4" w:rsidRDefault="006E75A4" w:rsidP="006E75A4">
      <w:pPr>
        <w:widowControl/>
        <w:numPr>
          <w:ilvl w:val="0"/>
          <w:numId w:val="2"/>
        </w:numPr>
        <w:suppressAutoHyphens w:val="0"/>
        <w:adjustRightInd w:val="0"/>
        <w:spacing w:before="60" w:after="60"/>
        <w:ind w:left="1701" w:hanging="567"/>
        <w:jc w:val="both"/>
        <w:textAlignment w:val="auto"/>
      </w:pPr>
      <w:r w:rsidRPr="00A15B21">
        <w:t>The sum of these three components is subject to payroll tax.</w:t>
      </w:r>
    </w:p>
    <w:p w:rsidR="006E75A4" w:rsidRDefault="006E75A4" w:rsidP="006E75A4">
      <w:pPr>
        <w:widowControl/>
        <w:numPr>
          <w:ilvl w:val="0"/>
          <w:numId w:val="2"/>
        </w:numPr>
        <w:suppressAutoHyphens w:val="0"/>
        <w:adjustRightInd w:val="0"/>
        <w:spacing w:before="60" w:after="60"/>
        <w:ind w:left="1701" w:hanging="567"/>
        <w:jc w:val="both"/>
        <w:textAlignment w:val="auto"/>
        <w:rPr>
          <w:rFonts w:cs="Arial"/>
          <w:bCs/>
        </w:rPr>
      </w:pPr>
      <w:r>
        <w:t>An employer’s superannuation guarantee charge may also include a penalty component. Any penalty component of a superannuation guarantee charge imposed under sections 49 or 59 of the SGA Act is not subject to payroll tax.</w:t>
      </w:r>
    </w:p>
    <w:p w:rsidR="006E75A4" w:rsidRDefault="006E75A4" w:rsidP="006E75A4">
      <w:pPr>
        <w:adjustRightInd w:val="0"/>
        <w:ind w:left="1701" w:hanging="567"/>
        <w:rPr>
          <w:rFonts w:cs="Arial"/>
          <w:bCs/>
        </w:rPr>
      </w:pPr>
    </w:p>
    <w:p w:rsidR="006E75A4" w:rsidRDefault="006E75A4" w:rsidP="006E75A4">
      <w:pPr>
        <w:adjustRightInd w:val="0"/>
        <w:ind w:left="1701" w:hanging="567"/>
        <w:rPr>
          <w:rFonts w:cs="Arial"/>
          <w:bCs/>
        </w:rPr>
      </w:pPr>
      <w:r>
        <w:rPr>
          <w:rFonts w:cs="Arial"/>
          <w:bCs/>
        </w:rPr>
        <w:t xml:space="preserve">SIGNED </w:t>
      </w:r>
    </w:p>
    <w:p w:rsidR="006E75A4" w:rsidRPr="00564BD6" w:rsidRDefault="006E75A4" w:rsidP="006E75A4">
      <w:pPr>
        <w:adjustRightInd w:val="0"/>
        <w:ind w:left="1701" w:hanging="567"/>
        <w:rPr>
          <w:rFonts w:cs="Arial"/>
          <w:bCs/>
        </w:rPr>
      </w:pPr>
    </w:p>
    <w:p w:rsidR="006E75A4" w:rsidRPr="00564BD6" w:rsidRDefault="006E75A4" w:rsidP="006E75A4">
      <w:pPr>
        <w:adjustRightInd w:val="0"/>
        <w:ind w:left="1701" w:hanging="567"/>
        <w:rPr>
          <w:rFonts w:cs="Arial"/>
          <w:bCs/>
        </w:rPr>
      </w:pPr>
      <w:r w:rsidRPr="00564BD6">
        <w:rPr>
          <w:rFonts w:cs="Arial"/>
          <w:bCs/>
        </w:rPr>
        <w:t>Kim Salisbury</w:t>
      </w:r>
    </w:p>
    <w:p w:rsidR="006E75A4" w:rsidRPr="00564BD6" w:rsidRDefault="006E75A4" w:rsidP="006E75A4">
      <w:pPr>
        <w:adjustRightInd w:val="0"/>
        <w:ind w:left="1701" w:hanging="567"/>
        <w:rPr>
          <w:rFonts w:cs="Arial"/>
        </w:rPr>
      </w:pPr>
      <w:r w:rsidRPr="00564BD6">
        <w:rPr>
          <w:rFonts w:cs="Arial"/>
        </w:rPr>
        <w:t>Commissioner for ACT Revenue</w:t>
      </w:r>
    </w:p>
    <w:p w:rsidR="006E75A4" w:rsidRDefault="006E75A4" w:rsidP="006E75A4">
      <w:pPr>
        <w:ind w:left="1134" w:right="-1135"/>
        <w:jc w:val="both"/>
        <w:rPr>
          <w:rFonts w:cs="Arial"/>
          <w:bCs/>
        </w:rPr>
      </w:pPr>
      <w:r>
        <w:rPr>
          <w:rFonts w:cs="Arial"/>
          <w:bCs/>
        </w:rPr>
        <w:t>25 February 2016</w:t>
      </w:r>
    </w:p>
    <w:sectPr w:rsidR="006E75A4" w:rsidSect="006E75A4">
      <w:footerReference w:type="default" r:id="rId9"/>
      <w:pgSz w:w="11910" w:h="16840" w:code="9"/>
      <w:pgMar w:top="-15" w:right="1137" w:bottom="851" w:left="142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479" w:rsidRDefault="00071479" w:rsidP="005B0828">
      <w:r>
        <w:separator/>
      </w:r>
    </w:p>
  </w:endnote>
  <w:endnote w:type="continuationSeparator" w:id="0">
    <w:p w:rsidR="00071479" w:rsidRDefault="00071479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79" w:rsidRPr="00F44A8D" w:rsidRDefault="00071479" w:rsidP="00071479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  <w:p w:rsidR="00071479" w:rsidRDefault="00071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479" w:rsidRDefault="00071479" w:rsidP="005B0828">
      <w:r w:rsidRPr="005B0828">
        <w:rPr>
          <w:color w:val="000000"/>
        </w:rPr>
        <w:separator/>
      </w:r>
    </w:p>
  </w:footnote>
  <w:footnote w:type="continuationSeparator" w:id="0">
    <w:p w:rsidR="00071479" w:rsidRDefault="00071479" w:rsidP="005B0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FC2C71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3845B3"/>
    <w:multiLevelType w:val="hybridMultilevel"/>
    <w:tmpl w:val="668EF11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3226A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8D6C55"/>
    <w:multiLevelType w:val="hybridMultilevel"/>
    <w:tmpl w:val="7D14D7B6"/>
    <w:lvl w:ilvl="0" w:tplc="E1565F5E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03ABC"/>
    <w:rsid w:val="00032214"/>
    <w:rsid w:val="00071479"/>
    <w:rsid w:val="000A01C8"/>
    <w:rsid w:val="000D649E"/>
    <w:rsid w:val="000D64C3"/>
    <w:rsid w:val="00193116"/>
    <w:rsid w:val="001A032A"/>
    <w:rsid w:val="001C32ED"/>
    <w:rsid w:val="00210C1D"/>
    <w:rsid w:val="002240B1"/>
    <w:rsid w:val="00244887"/>
    <w:rsid w:val="00275FAE"/>
    <w:rsid w:val="002A094B"/>
    <w:rsid w:val="002D0A0C"/>
    <w:rsid w:val="00310E54"/>
    <w:rsid w:val="00334745"/>
    <w:rsid w:val="00391CB7"/>
    <w:rsid w:val="003979F9"/>
    <w:rsid w:val="003F7D8D"/>
    <w:rsid w:val="00443970"/>
    <w:rsid w:val="00532252"/>
    <w:rsid w:val="005B0828"/>
    <w:rsid w:val="00670F0B"/>
    <w:rsid w:val="006B0ECA"/>
    <w:rsid w:val="006B2035"/>
    <w:rsid w:val="006E75A4"/>
    <w:rsid w:val="007A65CD"/>
    <w:rsid w:val="007C691C"/>
    <w:rsid w:val="00815D0A"/>
    <w:rsid w:val="00822F9C"/>
    <w:rsid w:val="0089072D"/>
    <w:rsid w:val="008B1CDE"/>
    <w:rsid w:val="00943FB7"/>
    <w:rsid w:val="009C39EB"/>
    <w:rsid w:val="00A04E5E"/>
    <w:rsid w:val="00A136AE"/>
    <w:rsid w:val="00A812EA"/>
    <w:rsid w:val="00AD4741"/>
    <w:rsid w:val="00AF7801"/>
    <w:rsid w:val="00B92F40"/>
    <w:rsid w:val="00BE0B6D"/>
    <w:rsid w:val="00BF1D92"/>
    <w:rsid w:val="00BF64D2"/>
    <w:rsid w:val="00C82405"/>
    <w:rsid w:val="00C8554F"/>
    <w:rsid w:val="00CD0ACD"/>
    <w:rsid w:val="00CD6913"/>
    <w:rsid w:val="00D908F9"/>
    <w:rsid w:val="00DA0B26"/>
    <w:rsid w:val="00DA6ED5"/>
    <w:rsid w:val="00E91AB3"/>
    <w:rsid w:val="00F44A8D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36AE"/>
    <w:pPr>
      <w:widowControl/>
      <w:suppressAutoHyphens w:val="0"/>
      <w:autoSpaceDE/>
      <w:autoSpaceDN/>
      <w:textAlignment w:val="auto"/>
    </w:pPr>
    <w:rPr>
      <w:rFonts w:ascii="Times New Roman" w:eastAsia="Times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AE"/>
    <w:rPr>
      <w:rFonts w:ascii="Times New Roman" w:eastAsia="Times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136AE"/>
    <w:rPr>
      <w:rFonts w:cs="Times New Roman"/>
      <w:vertAlign w:val="superscript"/>
    </w:rPr>
  </w:style>
  <w:style w:type="paragraph" w:customStyle="1" w:styleId="Default">
    <w:name w:val="Default"/>
    <w:uiPriority w:val="99"/>
    <w:rsid w:val="00A136AE"/>
    <w:pPr>
      <w:autoSpaceDE w:val="0"/>
      <w:adjustRightInd w:val="0"/>
      <w:spacing w:after="0" w:line="240" w:lineRule="auto"/>
      <w:textAlignment w:val="auto"/>
    </w:pPr>
    <w:rPr>
      <w:rFonts w:ascii="Arial" w:eastAsia="Times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F7CF-7B66-4754-ADAB-E6854C85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3</cp:revision>
  <cp:lastPrinted>2017-05-08T23:51:00Z</cp:lastPrinted>
  <dcterms:created xsi:type="dcterms:W3CDTF">2017-05-12T03:25:00Z</dcterms:created>
  <dcterms:modified xsi:type="dcterms:W3CDTF">2017-05-12T03:26:00Z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