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CA" w:rsidRDefault="0003508A" w:rsidP="00DA0B26">
      <w:pPr>
        <w:pStyle w:val="BodyText"/>
        <w:overflowPunct w:val="0"/>
        <w:ind w:right="-142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" filled="f" stroked="f">
            <v:textbox>
              <w:txbxContent>
                <w:p w:rsidR="00960BF8" w:rsidRPr="006B0ECA" w:rsidRDefault="00960BF8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B0ECA">
                    <w:rPr>
                      <w:b/>
                      <w:color w:val="FFFFFF" w:themeColor="background1"/>
                      <w:sz w:val="40"/>
                      <w:szCs w:val="40"/>
                    </w:rPr>
                    <w:t>ACT REVENUE OFFICE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" filled="f" stroked="f">
            <v:textbox>
              <w:txbxContent>
                <w:p w:rsidR="00960BF8" w:rsidRPr="00D908F9" w:rsidRDefault="00960BF8" w:rsidP="00391CB7">
                  <w:pPr>
                    <w:pStyle w:val="Header"/>
                    <w:tabs>
                      <w:tab w:val="clear" w:pos="4513"/>
                    </w:tabs>
                    <w:jc w:val="both"/>
                    <w:rPr>
                      <w:color w:val="FFFFFF"/>
                      <w:sz w:val="56"/>
                      <w:szCs w:val="56"/>
                    </w:rPr>
                  </w:pPr>
                  <w:r>
                    <w:rPr>
                      <w:color w:val="FFFFFF"/>
                      <w:sz w:val="56"/>
                      <w:szCs w:val="56"/>
                    </w:rPr>
                    <w:t>ACT Revenue Office</w:t>
                  </w:r>
                </w:p>
              </w:txbxContent>
            </v:textbox>
          </v:rect>
        </w:pict>
      </w:r>
      <w:r w:rsidR="00391CB7">
        <w:rPr>
          <w:noProof/>
        </w:rPr>
        <w:drawing>
          <wp:inline distT="0" distB="0" distL="0" distR="0">
            <wp:extent cx="9448201" cy="2184071"/>
            <wp:effectExtent l="19050" t="0" r="59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49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A" w:rsidRPr="00CD6913" w:rsidRDefault="006B0ECA" w:rsidP="00AD4741">
      <w:pPr>
        <w:ind w:left="1134"/>
        <w:jc w:val="both"/>
        <w:rPr>
          <w:rFonts w:asciiTheme="minorHAnsi" w:hAnsiTheme="minorHAnsi"/>
        </w:rPr>
      </w:pPr>
    </w:p>
    <w:tbl>
      <w:tblPr>
        <w:tblW w:w="4394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9657"/>
      </w:tblGrid>
      <w:tr w:rsidR="00F44A8D" w:rsidRPr="00404085" w:rsidTr="00725807">
        <w:trPr>
          <w:cantSplit/>
        </w:trPr>
        <w:tc>
          <w:tcPr>
            <w:tcW w:w="9782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D9D9D9"/>
          </w:tcPr>
          <w:p w:rsidR="00F44A8D" w:rsidRPr="00705A5A" w:rsidRDefault="00F44A8D" w:rsidP="00AD474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REVENUE CIRCULAR PTA0</w:t>
            </w:r>
            <w:r w:rsidR="00052F80">
              <w:rPr>
                <w:b/>
                <w:lang w:eastAsia="en-US"/>
              </w:rPr>
              <w:t>1</w:t>
            </w:r>
            <w:r w:rsidR="00960BF8">
              <w:rPr>
                <w:b/>
                <w:lang w:eastAsia="en-US"/>
              </w:rPr>
              <w:t>4</w:t>
            </w:r>
          </w:p>
        </w:tc>
      </w:tr>
      <w:tr w:rsidR="00F44A8D" w:rsidRPr="00404085" w:rsidTr="00725807">
        <w:trPr>
          <w:cantSplit/>
        </w:trPr>
        <w:tc>
          <w:tcPr>
            <w:tcW w:w="9782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960BF8" w:rsidP="00960B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What Constitutes a Day’s Work? - </w:t>
            </w:r>
            <w:r w:rsidR="00F44A8D" w:rsidRPr="00F44A8D">
              <w:rPr>
                <w:i/>
                <w:lang w:eastAsia="en-US"/>
              </w:rPr>
              <w:t>Payroll Tax Act 2011</w:t>
            </w:r>
          </w:p>
        </w:tc>
      </w:tr>
      <w:tr w:rsidR="00F44A8D" w:rsidRPr="00404085" w:rsidTr="00725807">
        <w:trPr>
          <w:cantSplit/>
        </w:trPr>
        <w:tc>
          <w:tcPr>
            <w:tcW w:w="9782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4B438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Issue Date: </w:t>
            </w:r>
            <w:r w:rsidR="004B438D">
              <w:rPr>
                <w:lang w:eastAsia="en-US"/>
              </w:rPr>
              <w:t>30 June 2011</w:t>
            </w:r>
          </w:p>
        </w:tc>
      </w:tr>
      <w:tr w:rsidR="00F44A8D" w:rsidRPr="00404085" w:rsidTr="00725807">
        <w:trPr>
          <w:cantSplit/>
        </w:trPr>
        <w:tc>
          <w:tcPr>
            <w:tcW w:w="9782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B678A3">
            <w:pPr>
              <w:jc w:val="both"/>
            </w:pPr>
            <w:r>
              <w:t>Status: Current</w:t>
            </w:r>
            <w:r w:rsidR="004B438D">
              <w:t xml:space="preserve"> – </w:t>
            </w:r>
            <w:r w:rsidR="00B678A3">
              <w:t>E</w:t>
            </w:r>
            <w:r w:rsidR="004B438D">
              <w:t>ffective 1 July 2011</w:t>
            </w:r>
          </w:p>
        </w:tc>
      </w:tr>
      <w:tr w:rsidR="00310E54" w:rsidRPr="00404085" w:rsidTr="00725807">
        <w:trPr>
          <w:cantSplit/>
        </w:trPr>
        <w:tc>
          <w:tcPr>
            <w:tcW w:w="9782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310E54" w:rsidRDefault="00310E54" w:rsidP="004B438D">
            <w:pPr>
              <w:jc w:val="both"/>
            </w:pPr>
            <w:r>
              <w:t>Previous Circular: PT</w:t>
            </w:r>
            <w:r w:rsidR="004B438D">
              <w:t>X01</w:t>
            </w:r>
            <w:r w:rsidR="00960BF8">
              <w:t>4</w:t>
            </w:r>
          </w:p>
        </w:tc>
      </w:tr>
    </w:tbl>
    <w:p w:rsidR="00725807" w:rsidRPr="00817327" w:rsidRDefault="00B678A3" w:rsidP="00AA3225">
      <w:pPr>
        <w:pStyle w:val="Heading1"/>
        <w:spacing w:before="120" w:after="60" w:line="240" w:lineRule="auto"/>
        <w:ind w:left="1134" w:firstLine="0"/>
      </w:pPr>
      <w:r>
        <w:t>Preamble</w:t>
      </w:r>
    </w:p>
    <w:p w:rsidR="00960BF8" w:rsidRDefault="00960BF8" w:rsidP="00AA3225">
      <w:pPr>
        <w:adjustRightInd w:val="0"/>
        <w:spacing w:before="60" w:after="120"/>
        <w:ind w:left="1134"/>
        <w:jc w:val="both"/>
        <w:rPr>
          <w:rFonts w:cs="Arial"/>
        </w:rPr>
      </w:pPr>
      <w:r w:rsidRPr="0066664F">
        <w:rPr>
          <w:rFonts w:cs="Arial"/>
        </w:rPr>
        <w:t xml:space="preserve">The </w:t>
      </w:r>
      <w:r w:rsidRPr="0066664F">
        <w:rPr>
          <w:rFonts w:cs="Arial"/>
          <w:i/>
        </w:rPr>
        <w:t>Payroll Tax Act 2011</w:t>
      </w:r>
      <w:r w:rsidRPr="0066664F">
        <w:rPr>
          <w:rFonts w:cs="Arial"/>
        </w:rPr>
        <w:t xml:space="preserve"> (the Act), which </w:t>
      </w:r>
      <w:r w:rsidRPr="00844E24">
        <w:rPr>
          <w:rFonts w:cs="Arial"/>
        </w:rPr>
        <w:t>commenced on 1 July 2011</w:t>
      </w:r>
      <w:r w:rsidRPr="0066664F">
        <w:rPr>
          <w:rFonts w:cs="Arial"/>
        </w:rPr>
        <w:t xml:space="preserve">, rewrites the </w:t>
      </w:r>
      <w:r w:rsidRPr="000715D3">
        <w:rPr>
          <w:rFonts w:cs="Arial"/>
          <w:i/>
        </w:rPr>
        <w:t>Payroll Tax Act 1987</w:t>
      </w:r>
      <w:r w:rsidRPr="0066664F">
        <w:rPr>
          <w:rFonts w:cs="Arial"/>
        </w:rPr>
        <w:t xml:space="preserve"> (the 1987 Act) and harmonises the payroll tax legislation </w:t>
      </w:r>
      <w:r>
        <w:rPr>
          <w:rFonts w:cs="Arial"/>
        </w:rPr>
        <w:t>in the Australian jurisdictions.</w:t>
      </w:r>
      <w:r w:rsidRPr="0066664F">
        <w:rPr>
          <w:rFonts w:cs="Arial"/>
        </w:rPr>
        <w:t xml:space="preserve">  </w:t>
      </w:r>
    </w:p>
    <w:p w:rsidR="00960BF8" w:rsidRDefault="00960BF8" w:rsidP="00960BF8">
      <w:pPr>
        <w:adjustRightInd w:val="0"/>
        <w:spacing w:before="120" w:after="120"/>
        <w:ind w:left="1701" w:hanging="567"/>
        <w:jc w:val="both"/>
        <w:rPr>
          <w:rFonts w:cs="Arial"/>
        </w:rPr>
      </w:pPr>
      <w:r w:rsidRPr="00035906">
        <w:rPr>
          <w:rFonts w:cs="Arial"/>
        </w:rPr>
        <w:t>1.</w:t>
      </w:r>
      <w:r w:rsidRPr="00035906">
        <w:rPr>
          <w:rFonts w:cs="Arial"/>
        </w:rPr>
        <w:tab/>
      </w:r>
      <w:r>
        <w:rPr>
          <w:rFonts w:cs="Arial"/>
        </w:rPr>
        <w:t xml:space="preserve">Parties to “relevant contract” are deemed to be employers and employees (sections 33 and 34 of the Act) and payments made under a contract are deemed to be wages (section 35 of the Act).  Deemed wages are subject to payroll tax under section 36 of the Act.  </w:t>
      </w:r>
    </w:p>
    <w:p w:rsidR="00960BF8" w:rsidRPr="00035906" w:rsidRDefault="00960BF8" w:rsidP="00960BF8">
      <w:pPr>
        <w:adjustRightInd w:val="0"/>
        <w:spacing w:before="120" w:after="120"/>
        <w:ind w:left="1701" w:hanging="567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Pr="00035906">
        <w:rPr>
          <w:rFonts w:cs="Arial"/>
        </w:rPr>
        <w:t>S</w:t>
      </w:r>
      <w:r>
        <w:rPr>
          <w:rFonts w:cs="Arial"/>
        </w:rPr>
        <w:t>chedule 2, part 2.3, section 2.14(1</w:t>
      </w:r>
      <w:proofErr w:type="gramStart"/>
      <w:r>
        <w:rPr>
          <w:rFonts w:cs="Arial"/>
        </w:rPr>
        <w:t>)(</w:t>
      </w:r>
      <w:proofErr w:type="gramEnd"/>
      <w:r>
        <w:rPr>
          <w:rFonts w:cs="Arial"/>
        </w:rPr>
        <w:t>f)</w:t>
      </w:r>
      <w:r w:rsidRPr="00035906">
        <w:rPr>
          <w:rFonts w:cs="Arial"/>
        </w:rPr>
        <w:t xml:space="preserve"> of the Act provides an exemption from payroll tax where wages are paid (or are payable) by an employment agent to a subcontractor under a contract between the agent and the subcontractor for work performed by the subcontractor for a client of the agent.  </w:t>
      </w:r>
    </w:p>
    <w:p w:rsidR="00960BF8" w:rsidRPr="00035906" w:rsidRDefault="00960BF8" w:rsidP="00960BF8">
      <w:pPr>
        <w:adjustRightInd w:val="0"/>
        <w:spacing w:before="120" w:after="120"/>
        <w:ind w:left="1701" w:hanging="567"/>
        <w:jc w:val="both"/>
        <w:rPr>
          <w:rFonts w:cs="Arial"/>
          <w:color w:val="000000"/>
        </w:rPr>
      </w:pPr>
      <w:r>
        <w:rPr>
          <w:rFonts w:cs="Arial"/>
        </w:rPr>
        <w:t>3</w:t>
      </w:r>
      <w:r w:rsidRPr="00035906">
        <w:rPr>
          <w:rFonts w:cs="Arial"/>
        </w:rPr>
        <w:t>.</w:t>
      </w:r>
      <w:r w:rsidRPr="00035906">
        <w:rPr>
          <w:rFonts w:cs="Arial"/>
        </w:rPr>
        <w:tab/>
        <w:t>The exemption applies to wages paid to individuals who together perform the work for not more than eight (8) days in any month under a contract with the agent.</w:t>
      </w:r>
    </w:p>
    <w:p w:rsidR="00960BF8" w:rsidRPr="00035906" w:rsidRDefault="00960BF8" w:rsidP="00960BF8">
      <w:pPr>
        <w:adjustRightInd w:val="0"/>
        <w:spacing w:before="120"/>
        <w:ind w:left="1701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4</w:t>
      </w:r>
      <w:r w:rsidRPr="00035906">
        <w:rPr>
          <w:rFonts w:cs="Arial"/>
          <w:color w:val="000000"/>
        </w:rPr>
        <w:t>.</w:t>
      </w:r>
      <w:r w:rsidRPr="00035906">
        <w:rPr>
          <w:rFonts w:cs="Arial"/>
          <w:color w:val="000000"/>
        </w:rPr>
        <w:tab/>
        <w:t xml:space="preserve">The purpose of this circular is to clarify what constitutes a day’s work for the purposes of </w:t>
      </w:r>
      <w:r>
        <w:rPr>
          <w:rFonts w:cs="Arial"/>
          <w:color w:val="000000"/>
        </w:rPr>
        <w:t>schedule 2, part 2.3, section 2.14(1</w:t>
      </w:r>
      <w:proofErr w:type="gramStart"/>
      <w:r>
        <w:rPr>
          <w:rFonts w:cs="Arial"/>
          <w:color w:val="000000"/>
        </w:rPr>
        <w:t>)(</w:t>
      </w:r>
      <w:proofErr w:type="gramEnd"/>
      <w:r>
        <w:rPr>
          <w:rFonts w:cs="Arial"/>
          <w:color w:val="000000"/>
        </w:rPr>
        <w:t>f)</w:t>
      </w:r>
      <w:r w:rsidRPr="00035906">
        <w:rPr>
          <w:rFonts w:cs="Arial"/>
          <w:color w:val="000000"/>
        </w:rPr>
        <w:t xml:space="preserve"> of the Act. </w:t>
      </w:r>
    </w:p>
    <w:p w:rsidR="00F44A8D" w:rsidRPr="00AD4741" w:rsidRDefault="00F44A8D" w:rsidP="00AA3225">
      <w:pPr>
        <w:pStyle w:val="Heading1"/>
        <w:spacing w:before="120" w:after="120" w:line="240" w:lineRule="auto"/>
        <w:ind w:left="1134" w:firstLine="0"/>
        <w:jc w:val="both"/>
        <w:rPr>
          <w:rFonts w:asciiTheme="minorHAnsi" w:hAnsiTheme="minorHAnsi"/>
        </w:rPr>
      </w:pPr>
      <w:r w:rsidRPr="00AD4741">
        <w:rPr>
          <w:rFonts w:asciiTheme="minorHAnsi" w:hAnsiTheme="minorHAnsi"/>
        </w:rPr>
        <w:t>Circular</w:t>
      </w:r>
    </w:p>
    <w:p w:rsidR="004B438D" w:rsidRPr="00960BF8" w:rsidRDefault="00960BF8" w:rsidP="00AA3225">
      <w:pPr>
        <w:spacing w:after="60"/>
        <w:ind w:left="1134"/>
        <w:jc w:val="both"/>
        <w:outlineLvl w:val="1"/>
        <w:rPr>
          <w:rFonts w:cs="Arial"/>
          <w:b/>
        </w:rPr>
      </w:pPr>
      <w:r w:rsidRPr="00960BF8">
        <w:rPr>
          <w:rFonts w:cs="Arial"/>
          <w:b/>
        </w:rPr>
        <w:t>What Constitutes a Day’s Work?</w:t>
      </w:r>
    </w:p>
    <w:p w:rsidR="00132E40" w:rsidRDefault="00960BF8" w:rsidP="00AA3225">
      <w:pPr>
        <w:adjustRightInd w:val="0"/>
        <w:ind w:left="1701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5</w:t>
      </w:r>
      <w:r w:rsidRPr="00035906">
        <w:rPr>
          <w:rFonts w:cs="Arial"/>
          <w:color w:val="000000"/>
        </w:rPr>
        <w:t>.</w:t>
      </w:r>
      <w:r w:rsidRPr="00035906">
        <w:rPr>
          <w:rFonts w:cs="Arial"/>
          <w:color w:val="000000"/>
        </w:rPr>
        <w:tab/>
        <w:t>A calendar day on which work is performed under a contract is counted as a ‘day’ in determining the number of days on which work is performed by a contractor, regardless of the amount of time worked on that day</w:t>
      </w:r>
      <w:r>
        <w:rPr>
          <w:rFonts w:cs="Arial"/>
          <w:color w:val="000000"/>
        </w:rPr>
        <w:t xml:space="preserve">: </w:t>
      </w:r>
    </w:p>
    <w:p w:rsidR="00132E40" w:rsidRDefault="00132E40" w:rsidP="00AA3225">
      <w:pPr>
        <w:adjustRightInd w:val="0"/>
        <w:ind w:left="1701" w:hanging="567"/>
        <w:jc w:val="both"/>
        <w:rPr>
          <w:rFonts w:cs="Arial"/>
          <w:color w:val="000000"/>
        </w:rPr>
      </w:pPr>
    </w:p>
    <w:p w:rsidR="00960BF8" w:rsidRDefault="00AA3225" w:rsidP="00132E40">
      <w:pPr>
        <w:adjustRightInd w:val="0"/>
        <w:ind w:left="170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See Example Below</w:t>
      </w:r>
    </w:p>
    <w:p w:rsidR="00AA3225" w:rsidRDefault="00AA3225" w:rsidP="00AA3225">
      <w:pPr>
        <w:adjustRightInd w:val="0"/>
        <w:ind w:left="1701" w:hanging="567"/>
        <w:jc w:val="both"/>
        <w:rPr>
          <w:rFonts w:cs="Arial"/>
          <w:color w:val="000000"/>
        </w:rPr>
      </w:pPr>
    </w:p>
    <w:p w:rsidR="00AA3225" w:rsidRDefault="00AA3225" w:rsidP="00AA3225">
      <w:pPr>
        <w:adjustRightInd w:val="0"/>
        <w:ind w:left="1701" w:hanging="567"/>
        <w:jc w:val="both"/>
        <w:rPr>
          <w:rFonts w:cs="Arial"/>
          <w:color w:val="000000"/>
        </w:rPr>
      </w:pPr>
    </w:p>
    <w:p w:rsidR="00AA3225" w:rsidRDefault="00AA3225" w:rsidP="00AA3225">
      <w:pPr>
        <w:adjustRightInd w:val="0"/>
        <w:ind w:left="1701" w:hanging="567"/>
        <w:jc w:val="both"/>
        <w:rPr>
          <w:rFonts w:cs="Arial"/>
          <w:color w:val="000000"/>
        </w:rPr>
      </w:pPr>
    </w:p>
    <w:p w:rsidR="00AA3225" w:rsidRDefault="00AA3225" w:rsidP="00AA3225">
      <w:pPr>
        <w:adjustRightInd w:val="0"/>
        <w:ind w:left="1701" w:hanging="567"/>
        <w:jc w:val="both"/>
        <w:rPr>
          <w:rFonts w:cs="Arial"/>
          <w:color w:val="000000"/>
        </w:rPr>
      </w:pPr>
    </w:p>
    <w:p w:rsidR="004B438D" w:rsidRPr="004B438D" w:rsidRDefault="004B438D" w:rsidP="00725807">
      <w:pPr>
        <w:adjustRightInd w:val="0"/>
        <w:spacing w:before="120" w:after="120"/>
        <w:ind w:left="1701" w:hanging="567"/>
      </w:pPr>
    </w:p>
    <w:p w:rsidR="00F44A8D" w:rsidRDefault="00F44A8D" w:rsidP="00AD4741">
      <w:pPr>
        <w:pStyle w:val="Heading2"/>
        <w:ind w:left="1701"/>
        <w:jc w:val="both"/>
        <w:sectPr w:rsidR="00F44A8D" w:rsidSect="00725807">
          <w:headerReference w:type="default" r:id="rId9"/>
          <w:footerReference w:type="default" r:id="rId10"/>
          <w:footerReference w:type="first" r:id="rId11"/>
          <w:pgSz w:w="11910" w:h="16840" w:code="9"/>
          <w:pgMar w:top="-9" w:right="1137" w:bottom="1100" w:left="0" w:header="0" w:footer="318" w:gutter="0"/>
          <w:cols w:space="720"/>
          <w:titlePg/>
          <w:docGrid w:linePitch="326"/>
        </w:sectPr>
      </w:pPr>
    </w:p>
    <w:tbl>
      <w:tblPr>
        <w:tblStyle w:val="TableGrid"/>
        <w:tblW w:w="0" w:type="auto"/>
        <w:tblInd w:w="108" w:type="dxa"/>
        <w:tblLook w:val="04A0"/>
      </w:tblPr>
      <w:tblGrid>
        <w:gridCol w:w="2861"/>
        <w:gridCol w:w="2930"/>
        <w:gridCol w:w="2930"/>
      </w:tblGrid>
      <w:tr w:rsidR="00AA3225" w:rsidRPr="00960BF8" w:rsidTr="00AA3225">
        <w:tc>
          <w:tcPr>
            <w:tcW w:w="2861" w:type="dxa"/>
          </w:tcPr>
          <w:p w:rsidR="00AA3225" w:rsidRPr="00960BF8" w:rsidRDefault="00AA3225" w:rsidP="00107357">
            <w:pPr>
              <w:adjustRightInd w:val="0"/>
              <w:spacing w:before="40" w:after="40"/>
              <w:ind w:right="-142"/>
              <w:rPr>
                <w:rFonts w:cs="Arial"/>
                <w:b/>
                <w:bCs/>
                <w:color w:val="000000"/>
              </w:rPr>
            </w:pPr>
            <w:r w:rsidRPr="00960BF8">
              <w:rPr>
                <w:rFonts w:cs="Arial"/>
                <w:b/>
                <w:bCs/>
                <w:color w:val="000000"/>
              </w:rPr>
              <w:lastRenderedPageBreak/>
              <w:t>DAY</w:t>
            </w:r>
          </w:p>
        </w:tc>
        <w:tc>
          <w:tcPr>
            <w:tcW w:w="2930" w:type="dxa"/>
          </w:tcPr>
          <w:p w:rsidR="00AA3225" w:rsidRPr="00960BF8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/>
                <w:bCs/>
                <w:color w:val="000000"/>
              </w:rPr>
            </w:pPr>
            <w:r w:rsidRPr="00960BF8">
              <w:rPr>
                <w:rFonts w:cs="Arial"/>
                <w:b/>
                <w:bCs/>
                <w:color w:val="000000"/>
              </w:rPr>
              <w:t xml:space="preserve">CONTRACTOR A </w:t>
            </w:r>
            <w:r>
              <w:rPr>
                <w:rFonts w:cs="Arial"/>
                <w:b/>
                <w:bCs/>
                <w:color w:val="000000"/>
              </w:rPr>
              <w:br/>
            </w:r>
            <w:r w:rsidRPr="00960BF8">
              <w:rPr>
                <w:rFonts w:cs="Arial"/>
                <w:b/>
                <w:bCs/>
                <w:color w:val="000000"/>
              </w:rPr>
              <w:t>(HOURS WORKED)</w:t>
            </w:r>
          </w:p>
        </w:tc>
        <w:tc>
          <w:tcPr>
            <w:tcW w:w="2930" w:type="dxa"/>
          </w:tcPr>
          <w:p w:rsidR="00AA3225" w:rsidRPr="00960BF8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/>
                <w:bCs/>
                <w:color w:val="000000"/>
              </w:rPr>
            </w:pPr>
            <w:r w:rsidRPr="00960BF8">
              <w:rPr>
                <w:rFonts w:cs="Arial"/>
                <w:b/>
                <w:bCs/>
                <w:color w:val="000000"/>
              </w:rPr>
              <w:t xml:space="preserve">CONTRACTOR B </w:t>
            </w:r>
            <w:r>
              <w:rPr>
                <w:rFonts w:cs="Arial"/>
                <w:b/>
                <w:bCs/>
                <w:color w:val="000000"/>
              </w:rPr>
              <w:br/>
            </w:r>
            <w:r w:rsidRPr="00960BF8">
              <w:rPr>
                <w:rFonts w:cs="Arial"/>
                <w:b/>
                <w:bCs/>
                <w:color w:val="000000"/>
              </w:rPr>
              <w:t>(HOURS WORKED</w:t>
            </w:r>
            <w:r>
              <w:rPr>
                <w:rFonts w:cs="Arial"/>
                <w:b/>
                <w:bCs/>
                <w:color w:val="000000"/>
              </w:rPr>
              <w:t>)</w:t>
            </w:r>
          </w:p>
        </w:tc>
      </w:tr>
      <w:tr w:rsidR="00AA3225" w:rsidTr="00AA3225">
        <w:tc>
          <w:tcPr>
            <w:tcW w:w="2861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Monday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12</w:t>
            </w:r>
          </w:p>
        </w:tc>
      </w:tr>
      <w:tr w:rsidR="00AA3225" w:rsidTr="00AA3225">
        <w:tc>
          <w:tcPr>
            <w:tcW w:w="2861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Tuesday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8</w:t>
            </w:r>
          </w:p>
        </w:tc>
      </w:tr>
      <w:tr w:rsidR="00AA3225" w:rsidTr="00AA3225">
        <w:tc>
          <w:tcPr>
            <w:tcW w:w="2861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Wednesday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4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</w:t>
            </w:r>
          </w:p>
        </w:tc>
      </w:tr>
      <w:tr w:rsidR="00AA3225" w:rsidTr="00AA3225">
        <w:tc>
          <w:tcPr>
            <w:tcW w:w="2861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Thursday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9</w:t>
            </w:r>
          </w:p>
        </w:tc>
      </w:tr>
      <w:tr w:rsidR="00AA3225" w:rsidTr="00AA3225">
        <w:tc>
          <w:tcPr>
            <w:tcW w:w="2861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Friday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8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8</w:t>
            </w:r>
          </w:p>
        </w:tc>
      </w:tr>
      <w:tr w:rsidR="00AA3225" w:rsidTr="00AA3225">
        <w:tc>
          <w:tcPr>
            <w:tcW w:w="2861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Saturday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</w:t>
            </w:r>
          </w:p>
        </w:tc>
        <w:tc>
          <w:tcPr>
            <w:tcW w:w="2930" w:type="dxa"/>
          </w:tcPr>
          <w:p w:rsid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5</w:t>
            </w:r>
          </w:p>
        </w:tc>
      </w:tr>
      <w:tr w:rsidR="00AA3225" w:rsidRPr="00AA3225" w:rsidTr="00AA3225">
        <w:tc>
          <w:tcPr>
            <w:tcW w:w="2861" w:type="dxa"/>
          </w:tcPr>
          <w:p w:rsidR="00AA3225" w:rsidRPr="00AA3225" w:rsidRDefault="00AA3225" w:rsidP="00107357">
            <w:pPr>
              <w:adjustRightInd w:val="0"/>
              <w:spacing w:before="40" w:after="40"/>
              <w:ind w:right="-142"/>
              <w:rPr>
                <w:rFonts w:cs="Arial"/>
                <w:b/>
                <w:bCs/>
                <w:color w:val="000000"/>
              </w:rPr>
            </w:pPr>
            <w:r w:rsidRPr="00AA3225">
              <w:rPr>
                <w:rFonts w:cs="Arial"/>
                <w:b/>
                <w:bCs/>
                <w:color w:val="000000"/>
              </w:rPr>
              <w:t>TOTAL:</w:t>
            </w:r>
          </w:p>
        </w:tc>
        <w:tc>
          <w:tcPr>
            <w:tcW w:w="2930" w:type="dxa"/>
          </w:tcPr>
          <w:p w:rsidR="00AA3225" w:rsidRP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/>
                <w:bCs/>
                <w:color w:val="000000"/>
              </w:rPr>
            </w:pPr>
            <w:r w:rsidRPr="00AA3225">
              <w:rPr>
                <w:rFonts w:cs="Arial"/>
                <w:b/>
                <w:bCs/>
                <w:color w:val="000000"/>
              </w:rPr>
              <w:t>18</w:t>
            </w:r>
          </w:p>
        </w:tc>
        <w:tc>
          <w:tcPr>
            <w:tcW w:w="2930" w:type="dxa"/>
          </w:tcPr>
          <w:p w:rsidR="00AA3225" w:rsidRPr="00AA3225" w:rsidRDefault="00AA3225" w:rsidP="00107357">
            <w:pPr>
              <w:adjustRightInd w:val="0"/>
              <w:spacing w:before="40" w:after="40"/>
              <w:ind w:right="-142"/>
              <w:jc w:val="center"/>
              <w:rPr>
                <w:rFonts w:cs="Arial"/>
                <w:b/>
                <w:bCs/>
                <w:color w:val="000000"/>
              </w:rPr>
            </w:pPr>
            <w:r w:rsidRPr="00AA3225">
              <w:rPr>
                <w:rFonts w:cs="Arial"/>
                <w:b/>
                <w:bCs/>
                <w:color w:val="000000"/>
              </w:rPr>
              <w:t>52</w:t>
            </w:r>
          </w:p>
        </w:tc>
      </w:tr>
    </w:tbl>
    <w:p w:rsidR="00AA3225" w:rsidRDefault="00AA3225" w:rsidP="00AA3225">
      <w:pPr>
        <w:pStyle w:val="Default"/>
        <w:spacing w:after="60"/>
        <w:jc w:val="both"/>
        <w:rPr>
          <w:rFonts w:ascii="Calibri" w:hAnsi="Calibri" w:cs="Arial"/>
        </w:rPr>
      </w:pPr>
    </w:p>
    <w:p w:rsidR="00AA3225" w:rsidRPr="00035906" w:rsidRDefault="00AA3225" w:rsidP="00AA3225">
      <w:pPr>
        <w:adjustRightInd w:val="0"/>
        <w:spacing w:before="120" w:after="120"/>
        <w:ind w:left="567" w:right="141" w:hanging="567"/>
        <w:jc w:val="both"/>
        <w:rPr>
          <w:rFonts w:cs="Arial"/>
        </w:rPr>
      </w:pPr>
      <w:r>
        <w:rPr>
          <w:rFonts w:cs="Arial"/>
        </w:rPr>
        <w:t>6</w:t>
      </w:r>
      <w:r w:rsidRPr="00035906">
        <w:rPr>
          <w:rFonts w:cs="Arial"/>
        </w:rPr>
        <w:t>.</w:t>
      </w:r>
      <w:r w:rsidRPr="00035906">
        <w:rPr>
          <w:rFonts w:cs="Arial"/>
        </w:rPr>
        <w:tab/>
        <w:t xml:space="preserve">For the purposes of determining whether the exemption provided by </w:t>
      </w:r>
      <w:r>
        <w:rPr>
          <w:rFonts w:cs="Arial"/>
          <w:color w:val="000000"/>
        </w:rPr>
        <w:t>schedule 2, part 2.3, section 2.14(1</w:t>
      </w:r>
      <w:proofErr w:type="gramStart"/>
      <w:r>
        <w:rPr>
          <w:rFonts w:cs="Arial"/>
          <w:color w:val="000000"/>
        </w:rPr>
        <w:t>)(</w:t>
      </w:r>
      <w:proofErr w:type="gramEnd"/>
      <w:r>
        <w:rPr>
          <w:rFonts w:cs="Arial"/>
          <w:color w:val="000000"/>
        </w:rPr>
        <w:t xml:space="preserve">f) </w:t>
      </w:r>
      <w:r w:rsidRPr="00035906">
        <w:rPr>
          <w:rFonts w:cs="Arial"/>
        </w:rPr>
        <w:t xml:space="preserve">of the Act apply, both Contractor A and Contractor B are considered to have worked for six days, even though Contractor A has worked for only 18 hours for that period and Contractor B has worked for 52 hours during the same period. </w:t>
      </w:r>
    </w:p>
    <w:p w:rsidR="00AA3225" w:rsidRDefault="00AA3225" w:rsidP="00725807">
      <w:pPr>
        <w:pStyle w:val="Default"/>
        <w:spacing w:after="60"/>
        <w:ind w:left="567" w:hanging="567"/>
        <w:jc w:val="both"/>
        <w:rPr>
          <w:rFonts w:ascii="Calibri" w:hAnsi="Calibri" w:cs="Arial"/>
        </w:rPr>
      </w:pPr>
    </w:p>
    <w:p w:rsidR="00310E54" w:rsidRDefault="00310E54" w:rsidP="004B438D">
      <w:pPr>
        <w:adjustRightInd w:val="0"/>
        <w:jc w:val="both"/>
        <w:rPr>
          <w:rFonts w:cs="Arial"/>
          <w:bCs/>
        </w:rPr>
      </w:pPr>
    </w:p>
    <w:p w:rsidR="00F44A8D" w:rsidRDefault="00F44A8D" w:rsidP="004B438D">
      <w:pPr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SIGNED</w:t>
      </w:r>
    </w:p>
    <w:p w:rsidR="00F44A8D" w:rsidRPr="00564BD6" w:rsidRDefault="00F44A8D" w:rsidP="004B438D">
      <w:pPr>
        <w:adjustRightInd w:val="0"/>
        <w:jc w:val="both"/>
        <w:rPr>
          <w:rFonts w:cs="Arial"/>
          <w:bCs/>
        </w:rPr>
      </w:pPr>
    </w:p>
    <w:p w:rsidR="00F44A8D" w:rsidRPr="00564BD6" w:rsidRDefault="004B438D" w:rsidP="004B438D">
      <w:pPr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David Read</w:t>
      </w:r>
    </w:p>
    <w:p w:rsidR="00F44A8D" w:rsidRPr="00564BD6" w:rsidRDefault="00F44A8D" w:rsidP="004B438D">
      <w:pPr>
        <w:adjustRightInd w:val="0"/>
        <w:jc w:val="both"/>
        <w:rPr>
          <w:rFonts w:cs="Arial"/>
        </w:rPr>
      </w:pPr>
      <w:r w:rsidRPr="00564BD6">
        <w:rPr>
          <w:rFonts w:cs="Arial"/>
        </w:rPr>
        <w:t>Commissioner for ACT Revenue</w:t>
      </w:r>
    </w:p>
    <w:p w:rsidR="00F44A8D" w:rsidRPr="00310E54" w:rsidRDefault="004B438D" w:rsidP="004B438D">
      <w:pPr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30 June 2011</w:t>
      </w:r>
    </w:p>
    <w:sectPr w:rsidR="00F44A8D" w:rsidRPr="00310E54" w:rsidSect="00725807">
      <w:pgSz w:w="11910" w:h="16840" w:code="9"/>
      <w:pgMar w:top="1100" w:right="1137" w:bottom="1100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F8" w:rsidRDefault="00960BF8" w:rsidP="005B0828">
      <w:r>
        <w:separator/>
      </w:r>
    </w:p>
  </w:endnote>
  <w:endnote w:type="continuationSeparator" w:id="0">
    <w:p w:rsidR="00960BF8" w:rsidRDefault="00960BF8" w:rsidP="005B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F8" w:rsidRDefault="00960BF8">
    <w:pPr>
      <w:pStyle w:val="BodyText"/>
      <w:overflowPunct w:val="0"/>
      <w:spacing w:line="12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F8" w:rsidRPr="00F44A8D" w:rsidRDefault="00960BF8" w:rsidP="00F44A8D">
    <w:pPr>
      <w:jc w:val="center"/>
    </w:pPr>
    <w:r w:rsidRPr="00BA070A">
      <w:rPr>
        <w:b/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BA070A">
        <w:rPr>
          <w:rStyle w:val="Hyperlink"/>
          <w:b/>
          <w:sz w:val="18"/>
          <w:szCs w:val="18"/>
          <w:lang w:val="it-IT"/>
        </w:rPr>
        <w:t>www.revenue.act.gov.au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F8" w:rsidRDefault="00960BF8" w:rsidP="005B0828">
      <w:r w:rsidRPr="005B0828">
        <w:rPr>
          <w:color w:val="000000"/>
        </w:rPr>
        <w:separator/>
      </w:r>
    </w:p>
  </w:footnote>
  <w:footnote w:type="continuationSeparator" w:id="0">
    <w:p w:rsidR="00960BF8" w:rsidRDefault="00960BF8" w:rsidP="005B0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F8" w:rsidRDefault="00960BF8" w:rsidP="00822F9C">
    <w:pPr>
      <w:pStyle w:val="Header"/>
      <w:tabs>
        <w:tab w:val="clear" w:pos="4513"/>
        <w:tab w:val="clear" w:pos="9026"/>
      </w:tabs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513B32"/>
    <w:multiLevelType w:val="hybridMultilevel"/>
    <w:tmpl w:val="65C82982"/>
    <w:lvl w:ilvl="0" w:tplc="E1565F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2">
    <w:nsid w:val="31AA1147"/>
    <w:multiLevelType w:val="hybridMultilevel"/>
    <w:tmpl w:val="28E42B5E"/>
    <w:lvl w:ilvl="0" w:tplc="E1565F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453845B3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C6992"/>
    <w:multiLevelType w:val="hybridMultilevel"/>
    <w:tmpl w:val="985A3F28"/>
    <w:lvl w:ilvl="0" w:tplc="E1565F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E6E068F"/>
    <w:multiLevelType w:val="hybridMultilevel"/>
    <w:tmpl w:val="9FECABA2"/>
    <w:lvl w:ilvl="0" w:tplc="E1565F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B0828"/>
    <w:rsid w:val="0003508A"/>
    <w:rsid w:val="00052F80"/>
    <w:rsid w:val="000D649E"/>
    <w:rsid w:val="000D64C3"/>
    <w:rsid w:val="00132E40"/>
    <w:rsid w:val="00193116"/>
    <w:rsid w:val="00200A50"/>
    <w:rsid w:val="00210C1D"/>
    <w:rsid w:val="002240B1"/>
    <w:rsid w:val="00244887"/>
    <w:rsid w:val="00275FAE"/>
    <w:rsid w:val="00310E54"/>
    <w:rsid w:val="00391CB7"/>
    <w:rsid w:val="003B181D"/>
    <w:rsid w:val="004B438D"/>
    <w:rsid w:val="005B0828"/>
    <w:rsid w:val="006B0ECA"/>
    <w:rsid w:val="006B2035"/>
    <w:rsid w:val="00725807"/>
    <w:rsid w:val="007305E8"/>
    <w:rsid w:val="00822F9C"/>
    <w:rsid w:val="008B1CDE"/>
    <w:rsid w:val="00960BF8"/>
    <w:rsid w:val="00A278D5"/>
    <w:rsid w:val="00A812EA"/>
    <w:rsid w:val="00AA3225"/>
    <w:rsid w:val="00AD4741"/>
    <w:rsid w:val="00AF7801"/>
    <w:rsid w:val="00B678A3"/>
    <w:rsid w:val="00BE0B6D"/>
    <w:rsid w:val="00BE595D"/>
    <w:rsid w:val="00BF64D2"/>
    <w:rsid w:val="00C82405"/>
    <w:rsid w:val="00C8554F"/>
    <w:rsid w:val="00CD0ACD"/>
    <w:rsid w:val="00CD6913"/>
    <w:rsid w:val="00CE59E4"/>
    <w:rsid w:val="00CF0155"/>
    <w:rsid w:val="00D568DC"/>
    <w:rsid w:val="00D908F9"/>
    <w:rsid w:val="00DA0B26"/>
    <w:rsid w:val="00DA6ED5"/>
    <w:rsid w:val="00F4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725807"/>
    <w:pPr>
      <w:autoSpaceDE w:val="0"/>
      <w:adjustRightInd w:val="0"/>
      <w:spacing w:after="0" w:line="240" w:lineRule="auto"/>
      <w:textAlignment w:val="auto"/>
    </w:pPr>
    <w:rPr>
      <w:rFonts w:ascii="Times New Roman" w:eastAsia="Times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60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B1722-1E96-4478-9C4C-517ABDA9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Zilic</dc:creator>
  <cp:lastModifiedBy>Tereza Zilic</cp:lastModifiedBy>
  <cp:revision>6</cp:revision>
  <cp:lastPrinted>2017-05-08T23:51:00Z</cp:lastPrinted>
  <dcterms:created xsi:type="dcterms:W3CDTF">2017-05-11T01:52:00Z</dcterms:created>
  <dcterms:modified xsi:type="dcterms:W3CDTF">2017-05-11T05:15:00Z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