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36C8F" w14:textId="77777777" w:rsidR="005C2376" w:rsidRPr="001F538A" w:rsidRDefault="005C2376" w:rsidP="005C2376">
      <w:pPr>
        <w:pStyle w:val="BodyText"/>
        <w:kinsoku w:val="0"/>
        <w:overflowPunct w:val="0"/>
        <w:spacing w:before="71"/>
        <w:rPr>
          <w:color w:val="000000"/>
          <w:sz w:val="23"/>
          <w:szCs w:val="23"/>
        </w:rPr>
      </w:pPr>
      <w:r>
        <w:rPr>
          <w:b/>
          <w:bCs/>
          <w:color w:val="231F20"/>
          <w:sz w:val="23"/>
          <w:szCs w:val="23"/>
        </w:rPr>
        <w:t>PUBLIC NOTICE – TAX IN ARREARS</w:t>
      </w:r>
    </w:p>
    <w:p w14:paraId="0E286C7D" w14:textId="77777777" w:rsidR="00C610EE" w:rsidRPr="001F538A" w:rsidRDefault="00C610EE" w:rsidP="00C610EE">
      <w:pPr>
        <w:pStyle w:val="Heading1"/>
        <w:kinsoku w:val="0"/>
        <w:overflowPunct w:val="0"/>
        <w:spacing w:before="115"/>
        <w:rPr>
          <w:rFonts w:ascii="Calibri" w:hAnsi="Calibri"/>
          <w:color w:val="231F20"/>
          <w:sz w:val="21"/>
          <w:szCs w:val="21"/>
        </w:rPr>
      </w:pPr>
    </w:p>
    <w:p w14:paraId="3FD6B646" w14:textId="77777777" w:rsidR="00453C16" w:rsidRPr="00083CBF" w:rsidRDefault="00453C16" w:rsidP="00453C16">
      <w:pPr>
        <w:pStyle w:val="Heading1"/>
        <w:kinsoku w:val="0"/>
        <w:overflowPunct w:val="0"/>
        <w:spacing w:before="115"/>
        <w:rPr>
          <w:rFonts w:ascii="Calibri" w:hAnsi="Calibri"/>
          <w:color w:val="000000"/>
          <w:sz w:val="24"/>
          <w:szCs w:val="24"/>
        </w:rPr>
      </w:pPr>
      <w:r w:rsidRPr="00083CBF">
        <w:rPr>
          <w:rFonts w:ascii="Calibri" w:hAnsi="Calibri"/>
          <w:color w:val="231F20"/>
          <w:sz w:val="24"/>
          <w:szCs w:val="24"/>
        </w:rPr>
        <w:t>ACT</w:t>
      </w:r>
      <w:r w:rsidRPr="00083CBF">
        <w:rPr>
          <w:rFonts w:ascii="Calibri" w:hAnsi="Calibri"/>
          <w:color w:val="231F20"/>
          <w:spacing w:val="-1"/>
          <w:sz w:val="24"/>
          <w:szCs w:val="24"/>
        </w:rPr>
        <w:t xml:space="preserve"> </w:t>
      </w:r>
      <w:r w:rsidRPr="00083CBF">
        <w:rPr>
          <w:rFonts w:ascii="Calibri" w:hAnsi="Calibri"/>
          <w:color w:val="231F20"/>
          <w:sz w:val="24"/>
          <w:szCs w:val="24"/>
        </w:rPr>
        <w:t>Revenue</w:t>
      </w:r>
      <w:r w:rsidRPr="00083CBF">
        <w:rPr>
          <w:rFonts w:ascii="Calibri" w:hAnsi="Calibri"/>
          <w:color w:val="231F20"/>
          <w:spacing w:val="-1"/>
          <w:sz w:val="24"/>
          <w:szCs w:val="24"/>
        </w:rPr>
        <w:t xml:space="preserve"> </w:t>
      </w:r>
      <w:r w:rsidRPr="00083CBF">
        <w:rPr>
          <w:rFonts w:ascii="Calibri" w:hAnsi="Calibri"/>
          <w:color w:val="231F20"/>
          <w:sz w:val="24"/>
          <w:szCs w:val="24"/>
        </w:rPr>
        <w:t>Office</w:t>
      </w:r>
      <w:r w:rsidRPr="00083CBF">
        <w:rPr>
          <w:rFonts w:ascii="Calibri" w:hAnsi="Calibri"/>
          <w:color w:val="231F20"/>
          <w:spacing w:val="-1"/>
          <w:sz w:val="24"/>
          <w:szCs w:val="24"/>
        </w:rPr>
        <w:t xml:space="preserve"> </w:t>
      </w:r>
      <w:r w:rsidRPr="00083CBF">
        <w:rPr>
          <w:rFonts w:ascii="Calibri" w:hAnsi="Calibri"/>
          <w:color w:val="231F20"/>
          <w:sz w:val="24"/>
          <w:szCs w:val="24"/>
        </w:rPr>
        <w:t>Sale</w:t>
      </w:r>
      <w:r w:rsidRPr="00083CBF">
        <w:rPr>
          <w:rFonts w:ascii="Calibri" w:hAnsi="Calibri"/>
          <w:color w:val="231F20"/>
          <w:spacing w:val="-1"/>
          <w:sz w:val="24"/>
          <w:szCs w:val="24"/>
        </w:rPr>
        <w:t xml:space="preserve"> </w:t>
      </w:r>
      <w:r w:rsidRPr="00083CBF">
        <w:rPr>
          <w:rFonts w:ascii="Calibri" w:hAnsi="Calibri"/>
          <w:color w:val="231F20"/>
          <w:sz w:val="24"/>
          <w:szCs w:val="24"/>
        </w:rPr>
        <w:t>of</w:t>
      </w:r>
      <w:r w:rsidRPr="00083CBF">
        <w:rPr>
          <w:rFonts w:ascii="Calibri" w:hAnsi="Calibri"/>
          <w:color w:val="231F20"/>
          <w:spacing w:val="-1"/>
          <w:sz w:val="24"/>
          <w:szCs w:val="24"/>
        </w:rPr>
        <w:t xml:space="preserve"> Property </w:t>
      </w:r>
      <w:r w:rsidRPr="00083CBF">
        <w:rPr>
          <w:rFonts w:ascii="Calibri" w:hAnsi="Calibri"/>
          <w:bCs w:val="0"/>
          <w:color w:val="231F20"/>
          <w:w w:val="105"/>
          <w:sz w:val="24"/>
          <w:szCs w:val="24"/>
        </w:rPr>
        <w:t>–</w:t>
      </w:r>
      <w:r w:rsidRPr="00083CBF">
        <w:rPr>
          <w:rFonts w:ascii="Calibri" w:hAnsi="Calibri"/>
          <w:bCs w:val="0"/>
          <w:color w:val="231F20"/>
          <w:spacing w:val="-21"/>
          <w:w w:val="105"/>
          <w:sz w:val="24"/>
          <w:szCs w:val="24"/>
        </w:rPr>
        <w:t xml:space="preserve"> </w:t>
      </w:r>
      <w:r w:rsidRPr="00083CBF">
        <w:rPr>
          <w:rFonts w:ascii="Calibri" w:hAnsi="Calibri"/>
          <w:bCs w:val="0"/>
          <w:color w:val="231F20"/>
          <w:w w:val="105"/>
          <w:sz w:val="24"/>
          <w:szCs w:val="24"/>
        </w:rPr>
        <w:t>Debt</w:t>
      </w:r>
      <w:r w:rsidRPr="00083CBF">
        <w:rPr>
          <w:rFonts w:ascii="Calibri" w:hAnsi="Calibri"/>
          <w:bCs w:val="0"/>
          <w:color w:val="231F20"/>
          <w:spacing w:val="-21"/>
          <w:w w:val="105"/>
          <w:sz w:val="24"/>
          <w:szCs w:val="24"/>
        </w:rPr>
        <w:t xml:space="preserve"> </w:t>
      </w:r>
      <w:r w:rsidRPr="00083CBF">
        <w:rPr>
          <w:rFonts w:ascii="Calibri" w:hAnsi="Calibri"/>
          <w:bCs w:val="0"/>
          <w:color w:val="231F20"/>
          <w:w w:val="105"/>
          <w:sz w:val="24"/>
          <w:szCs w:val="24"/>
        </w:rPr>
        <w:t>Recovery</w:t>
      </w:r>
      <w:r w:rsidRPr="00083CBF">
        <w:rPr>
          <w:rFonts w:ascii="Calibri" w:hAnsi="Calibri"/>
          <w:bCs w:val="0"/>
          <w:color w:val="231F20"/>
          <w:spacing w:val="-21"/>
          <w:w w:val="105"/>
          <w:sz w:val="24"/>
          <w:szCs w:val="24"/>
        </w:rPr>
        <w:t xml:space="preserve"> </w:t>
      </w:r>
      <w:r w:rsidRPr="00083CBF">
        <w:rPr>
          <w:rFonts w:ascii="Calibri" w:hAnsi="Calibri"/>
          <w:bCs w:val="0"/>
          <w:color w:val="231F20"/>
          <w:spacing w:val="-2"/>
          <w:w w:val="105"/>
          <w:sz w:val="24"/>
          <w:szCs w:val="24"/>
        </w:rPr>
        <w:t>Program</w:t>
      </w:r>
    </w:p>
    <w:p w14:paraId="2B1B847B" w14:textId="77777777" w:rsidR="00453C16" w:rsidRPr="001F538A" w:rsidRDefault="00453C16" w:rsidP="00453C16">
      <w:pPr>
        <w:pStyle w:val="BodyText"/>
        <w:kinsoku w:val="0"/>
        <w:overflowPunct w:val="0"/>
        <w:spacing w:before="10"/>
        <w:ind w:left="0"/>
        <w:rPr>
          <w:b/>
          <w:bCs/>
          <w:sz w:val="11"/>
          <w:szCs w:val="11"/>
        </w:rPr>
      </w:pPr>
    </w:p>
    <w:p w14:paraId="59B62F7C" w14:textId="77777777" w:rsidR="00453C16" w:rsidRPr="00083CBF" w:rsidRDefault="00453C16" w:rsidP="00453C16">
      <w:pPr>
        <w:pStyle w:val="BodyText"/>
        <w:kinsoku w:val="0"/>
        <w:overflowPunct w:val="0"/>
        <w:spacing w:before="0" w:line="274" w:lineRule="auto"/>
        <w:ind w:right="513"/>
        <w:rPr>
          <w:rFonts w:ascii="Calibri" w:hAnsi="Calibri"/>
          <w:color w:val="231F20"/>
          <w:spacing w:val="-1"/>
          <w:sz w:val="23"/>
          <w:szCs w:val="23"/>
        </w:rPr>
      </w:pPr>
      <w:r w:rsidRPr="00083CBF">
        <w:rPr>
          <w:rFonts w:ascii="Calibri" w:hAnsi="Calibri"/>
          <w:color w:val="231F20"/>
          <w:spacing w:val="-1"/>
          <w:sz w:val="23"/>
          <w:szCs w:val="23"/>
        </w:rPr>
        <w:t xml:space="preserve">This </w:t>
      </w:r>
      <w:r w:rsidRPr="001F538A">
        <w:rPr>
          <w:rFonts w:ascii="Calibri" w:hAnsi="Calibri"/>
          <w:color w:val="231F20"/>
          <w:spacing w:val="-1"/>
          <w:sz w:val="23"/>
          <w:szCs w:val="23"/>
        </w:rPr>
        <w:t>program</w:t>
      </w:r>
      <w:r w:rsidRPr="00083CBF">
        <w:rPr>
          <w:rFonts w:ascii="Calibri" w:hAnsi="Calibri"/>
          <w:color w:val="231F20"/>
          <w:spacing w:val="-1"/>
          <w:sz w:val="23"/>
          <w:szCs w:val="23"/>
        </w:rPr>
        <w:t xml:space="preserve"> is </w:t>
      </w:r>
      <w:r w:rsidRPr="001F538A">
        <w:rPr>
          <w:rFonts w:ascii="Calibri" w:hAnsi="Calibri"/>
          <w:color w:val="231F20"/>
          <w:spacing w:val="-1"/>
          <w:sz w:val="23"/>
          <w:szCs w:val="23"/>
        </w:rPr>
        <w:t>targeted</w:t>
      </w:r>
      <w:r w:rsidRPr="00083CBF">
        <w:rPr>
          <w:rFonts w:ascii="Calibri" w:hAnsi="Calibri"/>
          <w:color w:val="231F20"/>
          <w:spacing w:val="-1"/>
          <w:sz w:val="23"/>
          <w:szCs w:val="23"/>
        </w:rPr>
        <w:t xml:space="preserve"> at ACT </w:t>
      </w:r>
      <w:r w:rsidRPr="001F538A">
        <w:rPr>
          <w:rFonts w:ascii="Calibri" w:hAnsi="Calibri"/>
          <w:color w:val="231F20"/>
          <w:spacing w:val="-1"/>
          <w:sz w:val="23"/>
          <w:szCs w:val="23"/>
        </w:rPr>
        <w:t>property</w:t>
      </w:r>
      <w:r w:rsidRPr="00083CBF">
        <w:rPr>
          <w:rFonts w:ascii="Calibri" w:hAnsi="Calibri"/>
          <w:color w:val="231F20"/>
          <w:spacing w:val="-1"/>
          <w:sz w:val="23"/>
          <w:szCs w:val="23"/>
        </w:rPr>
        <w:t xml:space="preserve"> owners of </w:t>
      </w:r>
      <w:r w:rsidRPr="001F538A">
        <w:rPr>
          <w:rFonts w:ascii="Calibri" w:hAnsi="Calibri"/>
          <w:color w:val="231F20"/>
          <w:spacing w:val="-1"/>
          <w:sz w:val="23"/>
          <w:szCs w:val="23"/>
        </w:rPr>
        <w:t>properties</w:t>
      </w:r>
      <w:r w:rsidRPr="00083CBF">
        <w:rPr>
          <w:rFonts w:ascii="Calibri" w:hAnsi="Calibri"/>
          <w:color w:val="231F20"/>
          <w:spacing w:val="-1"/>
          <w:sz w:val="23"/>
          <w:szCs w:val="23"/>
        </w:rPr>
        <w:t xml:space="preserve"> which have a tax or land rent debt outstanding for </w:t>
      </w:r>
      <w:r w:rsidRPr="001F538A">
        <w:rPr>
          <w:rFonts w:ascii="Calibri" w:hAnsi="Calibri"/>
          <w:color w:val="231F20"/>
          <w:spacing w:val="-1"/>
          <w:sz w:val="23"/>
          <w:szCs w:val="23"/>
        </w:rPr>
        <w:t>mor</w:t>
      </w:r>
      <w:r w:rsidRPr="00083CBF">
        <w:rPr>
          <w:rFonts w:ascii="Calibri" w:hAnsi="Calibri"/>
          <w:color w:val="231F20"/>
          <w:spacing w:val="-1"/>
          <w:sz w:val="23"/>
          <w:szCs w:val="23"/>
        </w:rPr>
        <w:t xml:space="preserve">e than 12 months. </w:t>
      </w:r>
      <w:r w:rsidR="00083CBF" w:rsidRPr="00083CBF">
        <w:rPr>
          <w:rFonts w:ascii="Calibri" w:hAnsi="Calibri"/>
          <w:color w:val="231F20"/>
          <w:spacing w:val="-1"/>
          <w:sz w:val="23"/>
          <w:szCs w:val="23"/>
        </w:rPr>
        <w:t xml:space="preserve">For taxes, </w:t>
      </w:r>
      <w:r w:rsidR="005C2376">
        <w:rPr>
          <w:rFonts w:ascii="Calibri" w:hAnsi="Calibri"/>
          <w:color w:val="231F20"/>
          <w:spacing w:val="-1"/>
          <w:sz w:val="23"/>
          <w:szCs w:val="23"/>
        </w:rPr>
        <w:t>r</w:t>
      </w:r>
      <w:r w:rsidRPr="00083CBF">
        <w:rPr>
          <w:rFonts w:ascii="Calibri" w:hAnsi="Calibri"/>
          <w:color w:val="231F20"/>
          <w:spacing w:val="-1"/>
          <w:sz w:val="23"/>
          <w:szCs w:val="23"/>
        </w:rPr>
        <w:t xml:space="preserve">ecovery action is taken under the sale of land </w:t>
      </w:r>
      <w:r w:rsidRPr="001F538A">
        <w:rPr>
          <w:rFonts w:ascii="Calibri" w:hAnsi="Calibri"/>
          <w:color w:val="231F20"/>
          <w:spacing w:val="-1"/>
          <w:sz w:val="23"/>
          <w:szCs w:val="23"/>
        </w:rPr>
        <w:t>provisions</w:t>
      </w:r>
      <w:r w:rsidRPr="00083CBF">
        <w:rPr>
          <w:rFonts w:ascii="Calibri" w:hAnsi="Calibri"/>
          <w:color w:val="231F20"/>
          <w:spacing w:val="-1"/>
          <w:sz w:val="23"/>
          <w:szCs w:val="23"/>
        </w:rPr>
        <w:t xml:space="preserve"> of the TAA.</w:t>
      </w:r>
    </w:p>
    <w:p w14:paraId="3D4888DB" w14:textId="77777777" w:rsidR="00453C16" w:rsidRPr="00083CBF" w:rsidRDefault="00453C16" w:rsidP="00453C16">
      <w:pPr>
        <w:pStyle w:val="BodyText"/>
        <w:kinsoku w:val="0"/>
        <w:overflowPunct w:val="0"/>
        <w:spacing w:before="0" w:line="274" w:lineRule="auto"/>
        <w:ind w:right="513"/>
        <w:rPr>
          <w:rFonts w:ascii="Calibri" w:hAnsi="Calibri"/>
          <w:color w:val="231F20"/>
          <w:spacing w:val="-1"/>
          <w:sz w:val="23"/>
          <w:szCs w:val="23"/>
        </w:rPr>
      </w:pPr>
    </w:p>
    <w:p w14:paraId="22B7071D" w14:textId="77777777" w:rsidR="00453C16" w:rsidRPr="00083CBF" w:rsidRDefault="00453C16" w:rsidP="00C610EE">
      <w:pPr>
        <w:pStyle w:val="Heading1"/>
        <w:kinsoku w:val="0"/>
        <w:overflowPunct w:val="0"/>
        <w:spacing w:before="115"/>
        <w:rPr>
          <w:rFonts w:ascii="Calibri" w:hAnsi="Calibri"/>
          <w:color w:val="231F20"/>
          <w:spacing w:val="-2"/>
          <w:sz w:val="24"/>
          <w:szCs w:val="24"/>
        </w:rPr>
      </w:pPr>
      <w:r w:rsidRPr="00083CBF">
        <w:rPr>
          <w:rFonts w:ascii="Calibri" w:hAnsi="Calibri"/>
          <w:color w:val="231F20"/>
          <w:spacing w:val="-2"/>
          <w:sz w:val="24"/>
          <w:szCs w:val="24"/>
        </w:rPr>
        <w:t>Notice of Tax in Arrears</w:t>
      </w:r>
    </w:p>
    <w:p w14:paraId="629896EF" w14:textId="77777777" w:rsidR="00453C16" w:rsidRDefault="00453C16" w:rsidP="00453C16">
      <w:pPr>
        <w:pStyle w:val="BodyText"/>
        <w:tabs>
          <w:tab w:val="left" w:pos="223"/>
        </w:tabs>
        <w:kinsoku w:val="0"/>
        <w:overflowPunct w:val="0"/>
        <w:spacing w:before="0" w:line="274" w:lineRule="auto"/>
        <w:ind w:left="142" w:right="111"/>
        <w:rPr>
          <w:rFonts w:ascii="Calibri" w:hAnsi="Calibri"/>
          <w:i/>
          <w:color w:val="231F20"/>
          <w:sz w:val="23"/>
          <w:szCs w:val="23"/>
        </w:rPr>
      </w:pPr>
      <w:r>
        <w:rPr>
          <w:rFonts w:ascii="Calibri" w:hAnsi="Calibri"/>
          <w:color w:val="231F20"/>
          <w:sz w:val="23"/>
          <w:szCs w:val="23"/>
        </w:rPr>
        <w:t xml:space="preserve">This is a public notice for the purpose of section 56I(4) of the </w:t>
      </w:r>
      <w:r w:rsidRPr="001F538A">
        <w:rPr>
          <w:rFonts w:ascii="Calibri" w:hAnsi="Calibri"/>
          <w:i/>
          <w:color w:val="231F20"/>
          <w:spacing w:val="2"/>
          <w:sz w:val="23"/>
          <w:szCs w:val="23"/>
        </w:rPr>
        <w:t>Taxation Administration Act 1999</w:t>
      </w:r>
      <w:r>
        <w:rPr>
          <w:rFonts w:ascii="Calibri" w:hAnsi="Calibri"/>
          <w:iCs/>
          <w:color w:val="231F20"/>
          <w:spacing w:val="2"/>
          <w:sz w:val="23"/>
          <w:szCs w:val="23"/>
        </w:rPr>
        <w:t xml:space="preserve"> (TAA)</w:t>
      </w:r>
      <w:r>
        <w:rPr>
          <w:rFonts w:ascii="Calibri" w:hAnsi="Calibri"/>
          <w:i/>
          <w:color w:val="231F20"/>
          <w:sz w:val="23"/>
          <w:szCs w:val="23"/>
        </w:rPr>
        <w:t xml:space="preserve">. </w:t>
      </w:r>
    </w:p>
    <w:p w14:paraId="12E33FE5" w14:textId="77777777" w:rsidR="00453C16" w:rsidRDefault="00453C16" w:rsidP="00453C16">
      <w:pPr>
        <w:pStyle w:val="BodyText"/>
        <w:tabs>
          <w:tab w:val="left" w:pos="223"/>
        </w:tabs>
        <w:kinsoku w:val="0"/>
        <w:overflowPunct w:val="0"/>
        <w:spacing w:before="0" w:line="274" w:lineRule="auto"/>
        <w:ind w:left="142" w:right="111"/>
        <w:rPr>
          <w:rFonts w:ascii="Calibri" w:hAnsi="Calibri"/>
          <w:i/>
          <w:color w:val="231F20"/>
          <w:sz w:val="23"/>
          <w:szCs w:val="23"/>
        </w:rPr>
      </w:pPr>
    </w:p>
    <w:p w14:paraId="3316EB57" w14:textId="77777777" w:rsidR="001C215F" w:rsidRDefault="00453C16" w:rsidP="005C2376">
      <w:pPr>
        <w:pStyle w:val="BodyText"/>
        <w:tabs>
          <w:tab w:val="left" w:pos="223"/>
        </w:tabs>
        <w:kinsoku w:val="0"/>
        <w:overflowPunct w:val="0"/>
        <w:spacing w:before="0" w:line="274" w:lineRule="auto"/>
        <w:ind w:left="142" w:right="111"/>
        <w:rPr>
          <w:rFonts w:ascii="Calibri" w:hAnsi="Calibri"/>
          <w:color w:val="231F20"/>
          <w:sz w:val="23"/>
          <w:szCs w:val="23"/>
        </w:rPr>
      </w:pPr>
      <w:r>
        <w:rPr>
          <w:rFonts w:ascii="Calibri" w:hAnsi="Calibri"/>
          <w:color w:val="231F20"/>
          <w:sz w:val="23"/>
          <w:szCs w:val="23"/>
        </w:rPr>
        <w:t xml:space="preserve">The Commissioner for ACT Revenue has declared the following parcels of land have tax payable </w:t>
      </w:r>
      <w:r w:rsidR="005C2376">
        <w:rPr>
          <w:rFonts w:ascii="Calibri" w:hAnsi="Calibri"/>
          <w:color w:val="231F20"/>
          <w:sz w:val="23"/>
          <w:szCs w:val="23"/>
        </w:rPr>
        <w:t xml:space="preserve">(as specified) </w:t>
      </w:r>
      <w:r>
        <w:rPr>
          <w:rFonts w:ascii="Calibri" w:hAnsi="Calibri"/>
          <w:color w:val="231F20"/>
          <w:sz w:val="23"/>
          <w:szCs w:val="23"/>
        </w:rPr>
        <w:t>that has been in arrears for at least one year under section 56I of the TAA</w:t>
      </w:r>
      <w:r w:rsidR="00EE6CC6">
        <w:rPr>
          <w:rFonts w:ascii="Calibri" w:hAnsi="Calibri"/>
          <w:color w:val="231F20"/>
          <w:sz w:val="23"/>
          <w:szCs w:val="23"/>
        </w:rPr>
        <w:t xml:space="preserve"> – see </w:t>
      </w:r>
      <w:hyperlink r:id="rId6" w:history="1">
        <w:r w:rsidR="00F445F2" w:rsidRPr="00EE19CE">
          <w:rPr>
            <w:rStyle w:val="Hyperlink"/>
            <w:rFonts w:ascii="Calibri" w:hAnsi="Calibri" w:cs="Arial"/>
            <w:sz w:val="23"/>
            <w:szCs w:val="23"/>
          </w:rPr>
          <w:t>https://www.legislation.act.gov.au/ni/2020-104/</w:t>
        </w:r>
      </w:hyperlink>
      <w:r w:rsidR="00F445F2">
        <w:rPr>
          <w:rFonts w:ascii="Calibri" w:hAnsi="Calibri"/>
          <w:color w:val="231F20"/>
          <w:sz w:val="23"/>
          <w:szCs w:val="23"/>
        </w:rPr>
        <w:t xml:space="preserve">. </w:t>
      </w:r>
    </w:p>
    <w:p w14:paraId="114F3676" w14:textId="77777777" w:rsidR="001C215F" w:rsidRPr="00083CBF" w:rsidRDefault="001C215F" w:rsidP="00B832DF">
      <w:pPr>
        <w:pStyle w:val="BodyText"/>
        <w:tabs>
          <w:tab w:val="left" w:pos="223"/>
        </w:tabs>
        <w:kinsoku w:val="0"/>
        <w:overflowPunct w:val="0"/>
        <w:spacing w:before="0" w:line="274" w:lineRule="auto"/>
        <w:ind w:left="142" w:right="111"/>
        <w:rPr>
          <w:rFonts w:ascii="Calibri" w:hAnsi="Calibri"/>
          <w:color w:val="231F20"/>
          <w:sz w:val="23"/>
          <w:szCs w:val="23"/>
        </w:rPr>
      </w:pPr>
    </w:p>
    <w:p w14:paraId="26E8F5C8" w14:textId="77777777" w:rsidR="00152942" w:rsidRPr="003C5C4A" w:rsidRDefault="00152942" w:rsidP="00083CBF">
      <w:pPr>
        <w:spacing w:before="80" w:after="60"/>
        <w:ind w:left="142"/>
        <w:rPr>
          <w:rFonts w:ascii="Arial" w:hAnsi="Arial"/>
          <w:b/>
          <w:sz w:val="20"/>
          <w:szCs w:val="20"/>
        </w:rPr>
      </w:pPr>
      <w:r w:rsidRPr="003C5C4A">
        <w:rPr>
          <w:rFonts w:ascii="Arial" w:hAnsi="Arial"/>
          <w:b/>
          <w:sz w:val="20"/>
          <w:szCs w:val="20"/>
        </w:rPr>
        <w:t>Table 1</w:t>
      </w:r>
      <w:r w:rsidRPr="003C5C4A">
        <w:rPr>
          <w:rFonts w:ascii="Arial" w:hAnsi="Arial"/>
          <w:b/>
          <w:sz w:val="20"/>
          <w:szCs w:val="20"/>
        </w:rPr>
        <w:tab/>
      </w:r>
      <w:r w:rsidRPr="003C5C4A">
        <w:rPr>
          <w:rFonts w:ascii="Arial" w:hAnsi="Arial"/>
          <w:b/>
          <w:sz w:val="20"/>
          <w:szCs w:val="20"/>
        </w:rPr>
        <w:tab/>
      </w:r>
      <w:bookmarkStart w:id="0" w:name="_Hlk32328412"/>
      <w:r w:rsidRPr="003C5C4A">
        <w:rPr>
          <w:rFonts w:ascii="Arial" w:hAnsi="Arial"/>
          <w:b/>
          <w:sz w:val="20"/>
          <w:szCs w:val="20"/>
        </w:rPr>
        <w:t>Parcels of land</w:t>
      </w:r>
      <w:r w:rsidRPr="00B220F0">
        <w:t>—</w:t>
      </w:r>
      <w:r>
        <w:rPr>
          <w:rFonts w:ascii="Arial" w:hAnsi="Arial"/>
          <w:b/>
          <w:sz w:val="20"/>
          <w:szCs w:val="20"/>
        </w:rPr>
        <w:t>T</w:t>
      </w:r>
      <w:r w:rsidRPr="003C5C4A">
        <w:rPr>
          <w:rFonts w:ascii="Arial" w:hAnsi="Arial"/>
          <w:b/>
          <w:sz w:val="20"/>
          <w:szCs w:val="20"/>
        </w:rPr>
        <w:t>ax in arrears</w:t>
      </w:r>
      <w:bookmarkEnd w:id="0"/>
    </w:p>
    <w:tbl>
      <w:tblPr>
        <w:tblStyle w:val="TableGrid"/>
        <w:tblW w:w="85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276"/>
        <w:gridCol w:w="1276"/>
        <w:gridCol w:w="1984"/>
      </w:tblGrid>
      <w:tr w:rsidR="00152942" w:rsidRPr="00CD254B" w14:paraId="4C25BB23" w14:textId="77777777" w:rsidTr="00152942">
        <w:tc>
          <w:tcPr>
            <w:tcW w:w="2552" w:type="dxa"/>
          </w:tcPr>
          <w:p w14:paraId="5229B3E0" w14:textId="77777777" w:rsidR="00152942" w:rsidRPr="00A7113B" w:rsidRDefault="00152942" w:rsidP="00F470F4">
            <w:pPr>
              <w:pStyle w:val="TableColHd"/>
            </w:pPr>
            <w:r w:rsidRPr="00B220F0">
              <w:t>column 1</w:t>
            </w:r>
          </w:p>
        </w:tc>
        <w:tc>
          <w:tcPr>
            <w:tcW w:w="1417" w:type="dxa"/>
          </w:tcPr>
          <w:p w14:paraId="24E67763" w14:textId="77777777" w:rsidR="00152942" w:rsidRPr="00A7113B" w:rsidRDefault="00152942" w:rsidP="00F470F4">
            <w:pPr>
              <w:pStyle w:val="TableColHd"/>
            </w:pPr>
            <w:r w:rsidRPr="00B220F0">
              <w:t xml:space="preserve">column </w:t>
            </w:r>
            <w:r>
              <w:t>2</w:t>
            </w:r>
          </w:p>
        </w:tc>
        <w:tc>
          <w:tcPr>
            <w:tcW w:w="1276" w:type="dxa"/>
          </w:tcPr>
          <w:p w14:paraId="387ED0BB" w14:textId="77777777" w:rsidR="00152942" w:rsidRPr="0017068E" w:rsidRDefault="00152942" w:rsidP="00F470F4">
            <w:pPr>
              <w:pStyle w:val="TableColHd"/>
            </w:pPr>
            <w:r w:rsidRPr="0017068E">
              <w:t xml:space="preserve">column </w:t>
            </w:r>
            <w:r>
              <w:t>3</w:t>
            </w:r>
          </w:p>
        </w:tc>
        <w:tc>
          <w:tcPr>
            <w:tcW w:w="1276" w:type="dxa"/>
          </w:tcPr>
          <w:p w14:paraId="741A5F83" w14:textId="77777777" w:rsidR="00152942" w:rsidRPr="0017068E" w:rsidRDefault="00152942" w:rsidP="00F470F4">
            <w:pPr>
              <w:pStyle w:val="TableColHd"/>
            </w:pPr>
            <w:r w:rsidRPr="0017068E">
              <w:t xml:space="preserve">column </w:t>
            </w:r>
            <w:r>
              <w:t>4</w:t>
            </w:r>
          </w:p>
        </w:tc>
        <w:tc>
          <w:tcPr>
            <w:tcW w:w="1984" w:type="dxa"/>
          </w:tcPr>
          <w:p w14:paraId="32CF0CAB" w14:textId="77777777" w:rsidR="00152942" w:rsidRPr="0017068E" w:rsidRDefault="00152942" w:rsidP="00F470F4">
            <w:pPr>
              <w:pStyle w:val="TableColHd"/>
            </w:pPr>
            <w:r w:rsidRPr="0017068E">
              <w:t xml:space="preserve">column </w:t>
            </w:r>
            <w:r>
              <w:t>5</w:t>
            </w:r>
          </w:p>
        </w:tc>
      </w:tr>
      <w:tr w:rsidR="00152942" w:rsidRPr="00CD254B" w14:paraId="64400ABA" w14:textId="77777777" w:rsidTr="00152942">
        <w:tc>
          <w:tcPr>
            <w:tcW w:w="2552" w:type="dxa"/>
          </w:tcPr>
          <w:p w14:paraId="5E88FE56" w14:textId="77777777" w:rsidR="00152942" w:rsidRDefault="00152942" w:rsidP="00F470F4">
            <w:pPr>
              <w:pStyle w:val="TableColHd"/>
            </w:pPr>
          </w:p>
          <w:p w14:paraId="4892142A" w14:textId="77777777" w:rsidR="00152942" w:rsidRPr="00A7113B" w:rsidRDefault="00152942" w:rsidP="00F470F4">
            <w:pPr>
              <w:pStyle w:val="TableColHd"/>
            </w:pPr>
            <w:r w:rsidRPr="00A7113B">
              <w:t>Property Address</w:t>
            </w:r>
          </w:p>
        </w:tc>
        <w:tc>
          <w:tcPr>
            <w:tcW w:w="1417" w:type="dxa"/>
          </w:tcPr>
          <w:p w14:paraId="271C70D1" w14:textId="77777777" w:rsidR="00152942" w:rsidRDefault="00152942" w:rsidP="00F470F4">
            <w:pPr>
              <w:pStyle w:val="TableColHd"/>
            </w:pPr>
          </w:p>
          <w:p w14:paraId="0920C870" w14:textId="77777777" w:rsidR="00152942" w:rsidRPr="00A7113B" w:rsidRDefault="00152942" w:rsidP="00F470F4">
            <w:pPr>
              <w:pStyle w:val="TableColHd"/>
            </w:pPr>
            <w:r w:rsidRPr="00A7113B">
              <w:t>Suburb</w:t>
            </w:r>
          </w:p>
        </w:tc>
        <w:tc>
          <w:tcPr>
            <w:tcW w:w="1276" w:type="dxa"/>
          </w:tcPr>
          <w:p w14:paraId="49B6213E" w14:textId="77777777" w:rsidR="00152942" w:rsidRDefault="00152942" w:rsidP="00F470F4">
            <w:pPr>
              <w:pStyle w:val="TableColHd"/>
            </w:pPr>
          </w:p>
          <w:p w14:paraId="6B2615F9" w14:textId="77777777" w:rsidR="00152942" w:rsidRPr="00A7113B" w:rsidRDefault="00152942" w:rsidP="00F470F4">
            <w:pPr>
              <w:pStyle w:val="TableColHd"/>
            </w:pPr>
            <w:r w:rsidRPr="00A7113B">
              <w:t>Section</w:t>
            </w:r>
          </w:p>
        </w:tc>
        <w:tc>
          <w:tcPr>
            <w:tcW w:w="1276" w:type="dxa"/>
          </w:tcPr>
          <w:p w14:paraId="2F25D21E" w14:textId="77777777" w:rsidR="00152942" w:rsidRDefault="00152942" w:rsidP="00F470F4">
            <w:pPr>
              <w:pStyle w:val="TableColHd"/>
            </w:pPr>
          </w:p>
          <w:p w14:paraId="58FA88A9" w14:textId="77777777" w:rsidR="00152942" w:rsidRPr="00A7113B" w:rsidRDefault="00152942" w:rsidP="00F470F4">
            <w:pPr>
              <w:pStyle w:val="TableColHd"/>
            </w:pPr>
            <w:r w:rsidRPr="00A7113B">
              <w:t>Block</w:t>
            </w:r>
          </w:p>
        </w:tc>
        <w:tc>
          <w:tcPr>
            <w:tcW w:w="1984" w:type="dxa"/>
          </w:tcPr>
          <w:p w14:paraId="1E59AB57" w14:textId="77777777" w:rsidR="00152942" w:rsidRDefault="00152942" w:rsidP="00F470F4">
            <w:pPr>
              <w:pStyle w:val="TableColHd"/>
            </w:pPr>
          </w:p>
          <w:p w14:paraId="710EEA51" w14:textId="77777777" w:rsidR="00152942" w:rsidRPr="00A7113B" w:rsidRDefault="00152942" w:rsidP="00F470F4">
            <w:pPr>
              <w:pStyle w:val="TableColHd"/>
            </w:pPr>
            <w:r>
              <w:t xml:space="preserve">Tax </w:t>
            </w:r>
          </w:p>
        </w:tc>
      </w:tr>
      <w:tr w:rsidR="00152942" w:rsidRPr="00CD254B" w14:paraId="417B7769" w14:textId="77777777" w:rsidTr="00152942">
        <w:tc>
          <w:tcPr>
            <w:tcW w:w="2552" w:type="dxa"/>
          </w:tcPr>
          <w:p w14:paraId="07E87198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34 Charles Perkins Circuit</w:t>
            </w:r>
          </w:p>
        </w:tc>
        <w:tc>
          <w:tcPr>
            <w:tcW w:w="1417" w:type="dxa"/>
          </w:tcPr>
          <w:p w14:paraId="7B5A7688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BONNER</w:t>
            </w:r>
          </w:p>
        </w:tc>
        <w:tc>
          <w:tcPr>
            <w:tcW w:w="1276" w:type="dxa"/>
          </w:tcPr>
          <w:p w14:paraId="588246F3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14:paraId="18E8C8BF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356A1384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Rates</w:t>
            </w:r>
          </w:p>
        </w:tc>
      </w:tr>
      <w:tr w:rsidR="00152942" w:rsidRPr="00CD254B" w14:paraId="3AB1303D" w14:textId="77777777" w:rsidTr="00152942">
        <w:tc>
          <w:tcPr>
            <w:tcW w:w="2552" w:type="dxa"/>
          </w:tcPr>
          <w:p w14:paraId="38A0C36C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8 Don Bell Street</w:t>
            </w:r>
          </w:p>
        </w:tc>
        <w:tc>
          <w:tcPr>
            <w:tcW w:w="1417" w:type="dxa"/>
          </w:tcPr>
          <w:p w14:paraId="0A75DCA1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BONNER</w:t>
            </w:r>
          </w:p>
        </w:tc>
        <w:tc>
          <w:tcPr>
            <w:tcW w:w="1276" w:type="dxa"/>
          </w:tcPr>
          <w:p w14:paraId="669DD085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 xml:space="preserve">69 </w:t>
            </w:r>
          </w:p>
        </w:tc>
        <w:tc>
          <w:tcPr>
            <w:tcW w:w="1276" w:type="dxa"/>
          </w:tcPr>
          <w:p w14:paraId="4F557BD2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14:paraId="1D7C0AA5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075372">
              <w:rPr>
                <w:sz w:val="20"/>
                <w:szCs w:val="20"/>
              </w:rPr>
              <w:t>Rates</w:t>
            </w:r>
          </w:p>
        </w:tc>
      </w:tr>
      <w:tr w:rsidR="00152942" w:rsidRPr="00CD254B" w14:paraId="1FBC3D59" w14:textId="77777777" w:rsidTr="00152942">
        <w:tc>
          <w:tcPr>
            <w:tcW w:w="2552" w:type="dxa"/>
          </w:tcPr>
          <w:p w14:paraId="3A9454E6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40 Roy Marika Street</w:t>
            </w:r>
          </w:p>
        </w:tc>
        <w:tc>
          <w:tcPr>
            <w:tcW w:w="1417" w:type="dxa"/>
          </w:tcPr>
          <w:p w14:paraId="6789D2FE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BONNER</w:t>
            </w:r>
          </w:p>
        </w:tc>
        <w:tc>
          <w:tcPr>
            <w:tcW w:w="1276" w:type="dxa"/>
          </w:tcPr>
          <w:p w14:paraId="2D705981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14:paraId="4A266DAC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14:paraId="3F4A4816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075372">
              <w:rPr>
                <w:sz w:val="20"/>
                <w:szCs w:val="20"/>
              </w:rPr>
              <w:t>Rates</w:t>
            </w:r>
          </w:p>
        </w:tc>
      </w:tr>
      <w:tr w:rsidR="00152942" w:rsidRPr="00CD254B" w14:paraId="2A479011" w14:textId="77777777" w:rsidTr="00152942">
        <w:tc>
          <w:tcPr>
            <w:tcW w:w="2552" w:type="dxa"/>
          </w:tcPr>
          <w:p w14:paraId="138A5281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12 Peter Coppin Street</w:t>
            </w:r>
          </w:p>
        </w:tc>
        <w:tc>
          <w:tcPr>
            <w:tcW w:w="1417" w:type="dxa"/>
          </w:tcPr>
          <w:p w14:paraId="3C8BEA2B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BONNER</w:t>
            </w:r>
          </w:p>
        </w:tc>
        <w:tc>
          <w:tcPr>
            <w:tcW w:w="1276" w:type="dxa"/>
          </w:tcPr>
          <w:p w14:paraId="5EA33C26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115</w:t>
            </w:r>
          </w:p>
        </w:tc>
        <w:tc>
          <w:tcPr>
            <w:tcW w:w="1276" w:type="dxa"/>
          </w:tcPr>
          <w:p w14:paraId="3747776A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4BBCEFC7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075372">
              <w:rPr>
                <w:sz w:val="20"/>
                <w:szCs w:val="20"/>
              </w:rPr>
              <w:t>Rates</w:t>
            </w:r>
          </w:p>
        </w:tc>
      </w:tr>
      <w:tr w:rsidR="00152942" w:rsidRPr="00CD254B" w14:paraId="3115B579" w14:textId="77777777" w:rsidTr="00152942">
        <w:tc>
          <w:tcPr>
            <w:tcW w:w="2552" w:type="dxa"/>
          </w:tcPr>
          <w:p w14:paraId="166EAFCC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21 Don McLeod Lane</w:t>
            </w:r>
          </w:p>
        </w:tc>
        <w:tc>
          <w:tcPr>
            <w:tcW w:w="1417" w:type="dxa"/>
          </w:tcPr>
          <w:p w14:paraId="2F5AF3DC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BONNER</w:t>
            </w:r>
          </w:p>
        </w:tc>
        <w:tc>
          <w:tcPr>
            <w:tcW w:w="1276" w:type="dxa"/>
          </w:tcPr>
          <w:p w14:paraId="4F4A1517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117</w:t>
            </w:r>
          </w:p>
        </w:tc>
        <w:tc>
          <w:tcPr>
            <w:tcW w:w="1276" w:type="dxa"/>
          </w:tcPr>
          <w:p w14:paraId="6817E8D9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14:paraId="784CB055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075372">
              <w:rPr>
                <w:sz w:val="20"/>
                <w:szCs w:val="20"/>
              </w:rPr>
              <w:t>Rates</w:t>
            </w:r>
          </w:p>
        </w:tc>
      </w:tr>
      <w:tr w:rsidR="00152942" w:rsidRPr="00CD254B" w14:paraId="5CF55393" w14:textId="77777777" w:rsidTr="00152942">
        <w:tc>
          <w:tcPr>
            <w:tcW w:w="2552" w:type="dxa"/>
          </w:tcPr>
          <w:p w14:paraId="28DFC1E5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9 Bieundurry Street</w:t>
            </w:r>
          </w:p>
        </w:tc>
        <w:tc>
          <w:tcPr>
            <w:tcW w:w="1417" w:type="dxa"/>
          </w:tcPr>
          <w:p w14:paraId="2B1E26FD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BONNER</w:t>
            </w:r>
          </w:p>
        </w:tc>
        <w:tc>
          <w:tcPr>
            <w:tcW w:w="1276" w:type="dxa"/>
          </w:tcPr>
          <w:p w14:paraId="3ECA859C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131</w:t>
            </w:r>
          </w:p>
        </w:tc>
        <w:tc>
          <w:tcPr>
            <w:tcW w:w="1276" w:type="dxa"/>
          </w:tcPr>
          <w:p w14:paraId="7A74995F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14:paraId="662CBA56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075372">
              <w:rPr>
                <w:sz w:val="20"/>
                <w:szCs w:val="20"/>
              </w:rPr>
              <w:t>Rates</w:t>
            </w:r>
            <w:r>
              <w:rPr>
                <w:sz w:val="20"/>
                <w:szCs w:val="20"/>
              </w:rPr>
              <w:t xml:space="preserve"> and Land Tax</w:t>
            </w:r>
          </w:p>
        </w:tc>
      </w:tr>
      <w:tr w:rsidR="00152942" w:rsidRPr="00CD254B" w14:paraId="3ACEDA90" w14:textId="77777777" w:rsidTr="00152942">
        <w:tc>
          <w:tcPr>
            <w:tcW w:w="2552" w:type="dxa"/>
          </w:tcPr>
          <w:p w14:paraId="4A94228A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45 Madgwick Street</w:t>
            </w:r>
          </w:p>
        </w:tc>
        <w:tc>
          <w:tcPr>
            <w:tcW w:w="1417" w:type="dxa"/>
          </w:tcPr>
          <w:p w14:paraId="2FFDF6CE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COOMBS</w:t>
            </w:r>
          </w:p>
        </w:tc>
        <w:tc>
          <w:tcPr>
            <w:tcW w:w="1276" w:type="dxa"/>
          </w:tcPr>
          <w:p w14:paraId="3CF1FB2D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14:paraId="2A3DCBFC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23</w:t>
            </w:r>
          </w:p>
        </w:tc>
        <w:tc>
          <w:tcPr>
            <w:tcW w:w="1984" w:type="dxa"/>
          </w:tcPr>
          <w:p w14:paraId="1FC745D6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075372">
              <w:rPr>
                <w:sz w:val="20"/>
                <w:szCs w:val="20"/>
              </w:rPr>
              <w:t>Rates</w:t>
            </w:r>
          </w:p>
        </w:tc>
      </w:tr>
      <w:tr w:rsidR="00152942" w:rsidRPr="00CD254B" w14:paraId="45DF13C0" w14:textId="77777777" w:rsidTr="00152942">
        <w:tc>
          <w:tcPr>
            <w:tcW w:w="2552" w:type="dxa"/>
          </w:tcPr>
          <w:p w14:paraId="2CA3AC84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2 Janine Haines Terrace</w:t>
            </w:r>
          </w:p>
        </w:tc>
        <w:tc>
          <w:tcPr>
            <w:tcW w:w="1417" w:type="dxa"/>
          </w:tcPr>
          <w:p w14:paraId="1E1E1481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COOMBS</w:t>
            </w:r>
          </w:p>
        </w:tc>
        <w:tc>
          <w:tcPr>
            <w:tcW w:w="1276" w:type="dxa"/>
          </w:tcPr>
          <w:p w14:paraId="03055675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14:paraId="7ED285D1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6D648F6C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075372">
              <w:rPr>
                <w:sz w:val="20"/>
                <w:szCs w:val="20"/>
              </w:rPr>
              <w:t>Rates</w:t>
            </w:r>
          </w:p>
        </w:tc>
      </w:tr>
      <w:tr w:rsidR="00152942" w:rsidRPr="00CD254B" w14:paraId="7B4B89D0" w14:textId="77777777" w:rsidTr="00152942">
        <w:tc>
          <w:tcPr>
            <w:tcW w:w="2552" w:type="dxa"/>
          </w:tcPr>
          <w:p w14:paraId="1A058DC9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1 Janine Haines Terrace</w:t>
            </w:r>
          </w:p>
        </w:tc>
        <w:tc>
          <w:tcPr>
            <w:tcW w:w="1417" w:type="dxa"/>
          </w:tcPr>
          <w:p w14:paraId="621D141C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COOMBS</w:t>
            </w:r>
          </w:p>
        </w:tc>
        <w:tc>
          <w:tcPr>
            <w:tcW w:w="1276" w:type="dxa"/>
          </w:tcPr>
          <w:p w14:paraId="109969F0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6881E803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34</w:t>
            </w:r>
          </w:p>
        </w:tc>
        <w:tc>
          <w:tcPr>
            <w:tcW w:w="1984" w:type="dxa"/>
          </w:tcPr>
          <w:p w14:paraId="5AAEB466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075372">
              <w:rPr>
                <w:sz w:val="20"/>
                <w:szCs w:val="20"/>
              </w:rPr>
              <w:t>Rates</w:t>
            </w:r>
          </w:p>
        </w:tc>
      </w:tr>
      <w:tr w:rsidR="00152942" w:rsidRPr="00CD254B" w14:paraId="6B906200" w14:textId="77777777" w:rsidTr="00152942">
        <w:trPr>
          <w:trHeight w:val="416"/>
        </w:trPr>
        <w:tc>
          <w:tcPr>
            <w:tcW w:w="2552" w:type="dxa"/>
          </w:tcPr>
          <w:p w14:paraId="1BF2EBD2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30 Lawrenson Circuit</w:t>
            </w:r>
          </w:p>
        </w:tc>
        <w:tc>
          <w:tcPr>
            <w:tcW w:w="1417" w:type="dxa"/>
          </w:tcPr>
          <w:p w14:paraId="514DA97C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JACKA</w:t>
            </w:r>
          </w:p>
        </w:tc>
        <w:tc>
          <w:tcPr>
            <w:tcW w:w="1276" w:type="dxa"/>
          </w:tcPr>
          <w:p w14:paraId="2B6BDDDA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642ACBEF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58DE8490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075372">
              <w:rPr>
                <w:sz w:val="20"/>
                <w:szCs w:val="20"/>
              </w:rPr>
              <w:t>Rates</w:t>
            </w:r>
          </w:p>
        </w:tc>
      </w:tr>
      <w:tr w:rsidR="00152942" w:rsidRPr="00CD254B" w14:paraId="18C8ADB2" w14:textId="77777777" w:rsidTr="00152942">
        <w:trPr>
          <w:trHeight w:val="322"/>
        </w:trPr>
        <w:tc>
          <w:tcPr>
            <w:tcW w:w="2552" w:type="dxa"/>
          </w:tcPr>
          <w:p w14:paraId="1D0C841A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19 Serventy Street</w:t>
            </w:r>
          </w:p>
        </w:tc>
        <w:tc>
          <w:tcPr>
            <w:tcW w:w="1417" w:type="dxa"/>
          </w:tcPr>
          <w:p w14:paraId="043494B8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WRIGHT</w:t>
            </w:r>
          </w:p>
        </w:tc>
        <w:tc>
          <w:tcPr>
            <w:tcW w:w="1276" w:type="dxa"/>
          </w:tcPr>
          <w:p w14:paraId="7039FDF4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7BD072CC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06D0F160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075372">
              <w:rPr>
                <w:sz w:val="20"/>
                <w:szCs w:val="20"/>
              </w:rPr>
              <w:t>Rates</w:t>
            </w:r>
          </w:p>
        </w:tc>
      </w:tr>
      <w:tr w:rsidR="00152942" w:rsidRPr="00CD254B" w14:paraId="0D20D9D1" w14:textId="77777777" w:rsidTr="00152942">
        <w:trPr>
          <w:trHeight w:val="322"/>
        </w:trPr>
        <w:tc>
          <w:tcPr>
            <w:tcW w:w="2552" w:type="dxa"/>
          </w:tcPr>
          <w:p w14:paraId="65BC3385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25 David Fleay Street</w:t>
            </w:r>
          </w:p>
        </w:tc>
        <w:tc>
          <w:tcPr>
            <w:tcW w:w="1417" w:type="dxa"/>
          </w:tcPr>
          <w:p w14:paraId="00115574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WRIGHT</w:t>
            </w:r>
          </w:p>
        </w:tc>
        <w:tc>
          <w:tcPr>
            <w:tcW w:w="1276" w:type="dxa"/>
          </w:tcPr>
          <w:p w14:paraId="3407F857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14:paraId="30CEFA19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0F5D660E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075372">
              <w:rPr>
                <w:sz w:val="20"/>
                <w:szCs w:val="20"/>
              </w:rPr>
              <w:t>Rates</w:t>
            </w:r>
          </w:p>
        </w:tc>
      </w:tr>
      <w:tr w:rsidR="00152942" w:rsidRPr="00CD254B" w14:paraId="002AB28D" w14:textId="77777777" w:rsidTr="00152942">
        <w:trPr>
          <w:trHeight w:val="322"/>
        </w:trPr>
        <w:tc>
          <w:tcPr>
            <w:tcW w:w="2552" w:type="dxa"/>
          </w:tcPr>
          <w:p w14:paraId="4050D947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21 Steve Irwin Avenue</w:t>
            </w:r>
          </w:p>
        </w:tc>
        <w:tc>
          <w:tcPr>
            <w:tcW w:w="1417" w:type="dxa"/>
          </w:tcPr>
          <w:p w14:paraId="78AC5507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WRIGHT</w:t>
            </w:r>
          </w:p>
        </w:tc>
        <w:tc>
          <w:tcPr>
            <w:tcW w:w="1276" w:type="dxa"/>
          </w:tcPr>
          <w:p w14:paraId="0646DE64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14:paraId="67CE44B8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3C5C4A">
              <w:rPr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14:paraId="6F2F2EFE" w14:textId="77777777" w:rsidR="00152942" w:rsidRPr="003C5C4A" w:rsidRDefault="00152942" w:rsidP="00F470F4">
            <w:pPr>
              <w:spacing w:before="80" w:after="60"/>
              <w:rPr>
                <w:sz w:val="20"/>
                <w:szCs w:val="20"/>
              </w:rPr>
            </w:pPr>
            <w:r w:rsidRPr="00075372">
              <w:rPr>
                <w:sz w:val="20"/>
                <w:szCs w:val="20"/>
              </w:rPr>
              <w:t>Rates</w:t>
            </w:r>
          </w:p>
        </w:tc>
      </w:tr>
    </w:tbl>
    <w:p w14:paraId="01106A79" w14:textId="77777777" w:rsidR="006575E2" w:rsidRDefault="006575E2" w:rsidP="006575E2">
      <w:pPr>
        <w:pStyle w:val="BodyText"/>
        <w:tabs>
          <w:tab w:val="left" w:pos="223"/>
        </w:tabs>
        <w:kinsoku w:val="0"/>
        <w:overflowPunct w:val="0"/>
        <w:spacing w:before="0" w:line="274" w:lineRule="auto"/>
        <w:ind w:right="111"/>
        <w:rPr>
          <w:rFonts w:ascii="Calibri" w:hAnsi="Calibri"/>
          <w:color w:val="231F20"/>
          <w:spacing w:val="1"/>
          <w:sz w:val="23"/>
          <w:szCs w:val="23"/>
        </w:rPr>
      </w:pPr>
    </w:p>
    <w:p w14:paraId="6DD14D9E" w14:textId="2BF2E612" w:rsidR="00BC69FE" w:rsidRPr="00B832DF" w:rsidRDefault="00C610EE" w:rsidP="00B832DF">
      <w:pPr>
        <w:pStyle w:val="BodyText"/>
        <w:tabs>
          <w:tab w:val="left" w:pos="223"/>
        </w:tabs>
        <w:kinsoku w:val="0"/>
        <w:overflowPunct w:val="0"/>
        <w:spacing w:before="0" w:line="274" w:lineRule="auto"/>
        <w:ind w:left="142" w:right="111"/>
        <w:rPr>
          <w:rFonts w:ascii="Calibri" w:hAnsi="Calibri"/>
          <w:color w:val="231F20"/>
          <w:sz w:val="23"/>
          <w:szCs w:val="23"/>
        </w:rPr>
      </w:pPr>
      <w:r w:rsidRPr="001F538A">
        <w:rPr>
          <w:rFonts w:ascii="Calibri" w:hAnsi="Calibri"/>
          <w:color w:val="231F20"/>
          <w:sz w:val="23"/>
          <w:szCs w:val="23"/>
        </w:rPr>
        <w:t>If,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after</w:t>
      </w:r>
      <w:r w:rsidRPr="00B832DF">
        <w:rPr>
          <w:rFonts w:ascii="Calibri" w:hAnsi="Calibri"/>
          <w:color w:val="231F20"/>
          <w:sz w:val="23"/>
          <w:szCs w:val="23"/>
        </w:rPr>
        <w:t xml:space="preserve"> 90 days from </w:t>
      </w:r>
      <w:r w:rsidRPr="001F538A">
        <w:rPr>
          <w:rFonts w:ascii="Calibri" w:hAnsi="Calibri"/>
          <w:color w:val="231F20"/>
          <w:sz w:val="23"/>
          <w:szCs w:val="23"/>
        </w:rPr>
        <w:t>the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date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of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="00AF3F51" w:rsidRPr="00B832DF">
        <w:rPr>
          <w:rFonts w:ascii="Calibri" w:hAnsi="Calibri"/>
          <w:color w:val="231F20"/>
          <w:sz w:val="23"/>
          <w:szCs w:val="23"/>
        </w:rPr>
        <w:t xml:space="preserve">the </w:t>
      </w:r>
      <w:r w:rsidR="00453C16" w:rsidRPr="00B832DF">
        <w:rPr>
          <w:rFonts w:ascii="Calibri" w:hAnsi="Calibri"/>
          <w:color w:val="231F20"/>
          <w:sz w:val="23"/>
          <w:szCs w:val="23"/>
        </w:rPr>
        <w:t>notification</w:t>
      </w:r>
      <w:r w:rsidRPr="001F538A">
        <w:rPr>
          <w:rFonts w:ascii="Calibri" w:hAnsi="Calibri"/>
          <w:color w:val="231F20"/>
          <w:sz w:val="23"/>
          <w:szCs w:val="23"/>
        </w:rPr>
        <w:t>,</w:t>
      </w:r>
      <w:r w:rsidR="00EE6CC6">
        <w:rPr>
          <w:rFonts w:ascii="Calibri" w:hAnsi="Calibri"/>
          <w:color w:val="231F20"/>
          <w:sz w:val="23"/>
          <w:szCs w:val="23"/>
        </w:rPr>
        <w:t xml:space="preserve"> </w:t>
      </w:r>
      <w:r w:rsidR="00825101" w:rsidRPr="00B832DF">
        <w:rPr>
          <w:rFonts w:ascii="Calibri" w:hAnsi="Calibri"/>
          <w:color w:val="231F20"/>
          <w:sz w:val="23"/>
          <w:szCs w:val="23"/>
        </w:rPr>
        <w:t>tax payable for the parcel of land is in arrears</w:t>
      </w:r>
      <w:bookmarkStart w:id="1" w:name="_GoBack"/>
      <w:bookmarkEnd w:id="1"/>
      <w:r w:rsidRPr="001F538A">
        <w:rPr>
          <w:rFonts w:ascii="Calibri" w:hAnsi="Calibri"/>
          <w:color w:val="231F20"/>
          <w:sz w:val="23"/>
          <w:szCs w:val="23"/>
        </w:rPr>
        <w:t>, the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Commissioner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for ACT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Revenue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can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seek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a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court</w:t>
      </w:r>
      <w:r w:rsidRPr="00B832DF">
        <w:rPr>
          <w:rFonts w:ascii="Calibri" w:hAnsi="Calibri"/>
          <w:color w:val="231F20"/>
          <w:sz w:val="23"/>
          <w:szCs w:val="23"/>
        </w:rPr>
        <w:t xml:space="preserve"> order </w:t>
      </w:r>
      <w:r w:rsidR="006575E2" w:rsidRPr="00B832DF">
        <w:rPr>
          <w:rFonts w:ascii="Calibri" w:hAnsi="Calibri"/>
          <w:color w:val="231F20"/>
          <w:sz w:val="23"/>
          <w:szCs w:val="23"/>
        </w:rPr>
        <w:t xml:space="preserve">under section 56J of the TAA </w:t>
      </w:r>
      <w:r w:rsidRPr="001F538A">
        <w:rPr>
          <w:rFonts w:ascii="Calibri" w:hAnsi="Calibri"/>
          <w:color w:val="231F20"/>
          <w:sz w:val="23"/>
          <w:szCs w:val="23"/>
        </w:rPr>
        <w:t>to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sell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the</w:t>
      </w:r>
      <w:r w:rsidRPr="00B832DF">
        <w:rPr>
          <w:rFonts w:ascii="Calibri" w:hAnsi="Calibri"/>
          <w:color w:val="231F20"/>
          <w:sz w:val="23"/>
          <w:szCs w:val="23"/>
        </w:rPr>
        <w:t xml:space="preserve"> parcel </w:t>
      </w:r>
      <w:r w:rsidRPr="001F538A">
        <w:rPr>
          <w:rFonts w:ascii="Calibri" w:hAnsi="Calibri"/>
          <w:color w:val="231F20"/>
          <w:sz w:val="23"/>
          <w:szCs w:val="23"/>
        </w:rPr>
        <w:t>of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land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by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public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auction,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in</w:t>
      </w:r>
      <w:r w:rsidRPr="00B832DF">
        <w:rPr>
          <w:rFonts w:ascii="Calibri" w:hAnsi="Calibri"/>
          <w:color w:val="231F20"/>
          <w:sz w:val="23"/>
          <w:szCs w:val="23"/>
        </w:rPr>
        <w:t xml:space="preserve"> order </w:t>
      </w:r>
      <w:r w:rsidRPr="001F538A">
        <w:rPr>
          <w:rFonts w:ascii="Calibri" w:hAnsi="Calibri"/>
          <w:color w:val="231F20"/>
          <w:sz w:val="23"/>
          <w:szCs w:val="23"/>
        </w:rPr>
        <w:t>to</w:t>
      </w:r>
      <w:r w:rsidRPr="00B832DF">
        <w:rPr>
          <w:rFonts w:ascii="Calibri" w:hAnsi="Calibri"/>
          <w:color w:val="231F20"/>
          <w:sz w:val="23"/>
          <w:szCs w:val="23"/>
        </w:rPr>
        <w:t xml:space="preserve"> recover </w:t>
      </w:r>
      <w:r w:rsidRPr="001F538A">
        <w:rPr>
          <w:rFonts w:ascii="Calibri" w:hAnsi="Calibri"/>
          <w:color w:val="231F20"/>
          <w:sz w:val="23"/>
          <w:szCs w:val="23"/>
        </w:rPr>
        <w:t>the</w:t>
      </w:r>
      <w:r w:rsidRPr="00B832DF">
        <w:rPr>
          <w:rFonts w:ascii="Calibri" w:hAnsi="Calibri"/>
          <w:color w:val="231F20"/>
          <w:sz w:val="23"/>
          <w:szCs w:val="23"/>
        </w:rPr>
        <w:t xml:space="preserve"> </w:t>
      </w:r>
      <w:r w:rsidRPr="001F538A">
        <w:rPr>
          <w:rFonts w:ascii="Calibri" w:hAnsi="Calibri"/>
          <w:color w:val="231F20"/>
          <w:sz w:val="23"/>
          <w:szCs w:val="23"/>
        </w:rPr>
        <w:t>debt.</w:t>
      </w:r>
    </w:p>
    <w:p w14:paraId="119B8E50" w14:textId="77777777" w:rsidR="001C5B47" w:rsidRPr="00A7788E" w:rsidRDefault="001C5B47" w:rsidP="001C5B47">
      <w:pPr>
        <w:spacing w:before="80" w:after="60"/>
        <w:ind w:left="720"/>
      </w:pPr>
    </w:p>
    <w:p w14:paraId="17AF5F1E" w14:textId="77777777" w:rsidR="001F538A" w:rsidRPr="001F538A" w:rsidRDefault="00E64AA2" w:rsidP="00BC69FE">
      <w:pPr>
        <w:pStyle w:val="BodyText"/>
        <w:tabs>
          <w:tab w:val="left" w:pos="223"/>
        </w:tabs>
        <w:kinsoku w:val="0"/>
        <w:overflowPunct w:val="0"/>
        <w:spacing w:before="0" w:line="274" w:lineRule="auto"/>
        <w:ind w:right="111"/>
        <w:rPr>
          <w:rFonts w:ascii="Calibri" w:hAnsi="Calibri"/>
          <w:color w:val="000000"/>
          <w:sz w:val="23"/>
          <w:szCs w:val="23"/>
        </w:rPr>
      </w:pPr>
      <w:r w:rsidRPr="001F538A">
        <w:rPr>
          <w:rFonts w:ascii="Calibri" w:hAnsi="Calibri"/>
          <w:color w:val="000000"/>
          <w:sz w:val="23"/>
          <w:szCs w:val="23"/>
        </w:rPr>
        <w:t>Kim Salisbury</w:t>
      </w:r>
    </w:p>
    <w:p w14:paraId="3DE0C363" w14:textId="77777777" w:rsidR="00E64AA2" w:rsidRDefault="00E64AA2" w:rsidP="00BC69FE">
      <w:pPr>
        <w:pStyle w:val="BodyText"/>
        <w:tabs>
          <w:tab w:val="left" w:pos="223"/>
        </w:tabs>
        <w:kinsoku w:val="0"/>
        <w:overflowPunct w:val="0"/>
        <w:spacing w:before="0" w:line="274" w:lineRule="auto"/>
        <w:ind w:right="111"/>
        <w:rPr>
          <w:rFonts w:ascii="Calibri" w:hAnsi="Calibri"/>
          <w:color w:val="000000"/>
          <w:sz w:val="23"/>
          <w:szCs w:val="23"/>
        </w:rPr>
      </w:pPr>
      <w:r w:rsidRPr="001F538A">
        <w:rPr>
          <w:rFonts w:ascii="Calibri" w:hAnsi="Calibri"/>
          <w:color w:val="000000"/>
          <w:sz w:val="23"/>
          <w:szCs w:val="23"/>
        </w:rPr>
        <w:t>Commissioner for ACT Revenue</w:t>
      </w:r>
    </w:p>
    <w:p w14:paraId="72B47D5C" w14:textId="77777777" w:rsidR="00634929" w:rsidRDefault="00634929" w:rsidP="00BC69FE">
      <w:pPr>
        <w:pStyle w:val="BodyText"/>
        <w:tabs>
          <w:tab w:val="left" w:pos="223"/>
        </w:tabs>
        <w:kinsoku w:val="0"/>
        <w:overflowPunct w:val="0"/>
        <w:spacing w:before="0" w:line="274" w:lineRule="auto"/>
        <w:ind w:right="111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1</w:t>
      </w:r>
      <w:r w:rsidR="00F445F2">
        <w:rPr>
          <w:rFonts w:ascii="Calibri" w:hAnsi="Calibri"/>
          <w:color w:val="000000"/>
          <w:sz w:val="23"/>
          <w:szCs w:val="23"/>
        </w:rPr>
        <w:t>3</w:t>
      </w:r>
      <w:r>
        <w:rPr>
          <w:rFonts w:ascii="Calibri" w:hAnsi="Calibri"/>
          <w:color w:val="000000"/>
          <w:sz w:val="23"/>
          <w:szCs w:val="23"/>
        </w:rPr>
        <w:t xml:space="preserve"> February 2020</w:t>
      </w:r>
    </w:p>
    <w:sectPr w:rsidR="00634929" w:rsidSect="00083CBF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D6E45"/>
    <w:multiLevelType w:val="hybridMultilevel"/>
    <w:tmpl w:val="21263A0E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73A672DB"/>
    <w:multiLevelType w:val="hybridMultilevel"/>
    <w:tmpl w:val="2E62B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EE"/>
    <w:rsid w:val="00017408"/>
    <w:rsid w:val="000638E6"/>
    <w:rsid w:val="00075372"/>
    <w:rsid w:val="00083CBF"/>
    <w:rsid w:val="000A1A8B"/>
    <w:rsid w:val="000A1B1B"/>
    <w:rsid w:val="000C5D07"/>
    <w:rsid w:val="000D2A69"/>
    <w:rsid w:val="000F6D7E"/>
    <w:rsid w:val="00127ACF"/>
    <w:rsid w:val="00152942"/>
    <w:rsid w:val="0017068E"/>
    <w:rsid w:val="001B5A36"/>
    <w:rsid w:val="001C215F"/>
    <w:rsid w:val="001C5B47"/>
    <w:rsid w:val="001D4943"/>
    <w:rsid w:val="001F3005"/>
    <w:rsid w:val="001F538A"/>
    <w:rsid w:val="00213773"/>
    <w:rsid w:val="00237299"/>
    <w:rsid w:val="00281C03"/>
    <w:rsid w:val="002B0947"/>
    <w:rsid w:val="002B0C3F"/>
    <w:rsid w:val="002C0D61"/>
    <w:rsid w:val="002E0DEB"/>
    <w:rsid w:val="00373DB8"/>
    <w:rsid w:val="003C495F"/>
    <w:rsid w:val="003C4F9C"/>
    <w:rsid w:val="003C5C4A"/>
    <w:rsid w:val="003E1FA3"/>
    <w:rsid w:val="003F6D7E"/>
    <w:rsid w:val="00453C16"/>
    <w:rsid w:val="00453FFE"/>
    <w:rsid w:val="00545E1E"/>
    <w:rsid w:val="005C2376"/>
    <w:rsid w:val="005E0E4C"/>
    <w:rsid w:val="005F082D"/>
    <w:rsid w:val="00623CED"/>
    <w:rsid w:val="00625B5C"/>
    <w:rsid w:val="00634929"/>
    <w:rsid w:val="006575E2"/>
    <w:rsid w:val="006660D3"/>
    <w:rsid w:val="00667E4F"/>
    <w:rsid w:val="006F1A51"/>
    <w:rsid w:val="007416D2"/>
    <w:rsid w:val="00766AF4"/>
    <w:rsid w:val="00820F5A"/>
    <w:rsid w:val="00821E00"/>
    <w:rsid w:val="00825101"/>
    <w:rsid w:val="0088272A"/>
    <w:rsid w:val="008B4753"/>
    <w:rsid w:val="0091411B"/>
    <w:rsid w:val="00960827"/>
    <w:rsid w:val="009A0642"/>
    <w:rsid w:val="00A61DB7"/>
    <w:rsid w:val="00A7113B"/>
    <w:rsid w:val="00A72A57"/>
    <w:rsid w:val="00A7788E"/>
    <w:rsid w:val="00AC248C"/>
    <w:rsid w:val="00AF3F51"/>
    <w:rsid w:val="00AF7217"/>
    <w:rsid w:val="00B03A78"/>
    <w:rsid w:val="00B220F0"/>
    <w:rsid w:val="00B302D6"/>
    <w:rsid w:val="00B52D75"/>
    <w:rsid w:val="00B832DF"/>
    <w:rsid w:val="00BC69FE"/>
    <w:rsid w:val="00C14146"/>
    <w:rsid w:val="00C5555A"/>
    <w:rsid w:val="00C610EE"/>
    <w:rsid w:val="00CB2287"/>
    <w:rsid w:val="00CD254B"/>
    <w:rsid w:val="00CF210A"/>
    <w:rsid w:val="00D402C8"/>
    <w:rsid w:val="00E64AA2"/>
    <w:rsid w:val="00E67B6B"/>
    <w:rsid w:val="00ED4678"/>
    <w:rsid w:val="00EE1401"/>
    <w:rsid w:val="00EE6CC6"/>
    <w:rsid w:val="00EF0381"/>
    <w:rsid w:val="00F26550"/>
    <w:rsid w:val="00F445F2"/>
    <w:rsid w:val="00F4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25C66"/>
  <w14:defaultImageDpi w14:val="0"/>
  <w15:docId w15:val="{D1CED2B0-A52A-4026-A5AB-03710112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C610E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610EE"/>
    <w:pPr>
      <w:spacing w:before="23"/>
      <w:ind w:left="113"/>
      <w:outlineLvl w:val="0"/>
    </w:pPr>
    <w:rPr>
      <w:rFonts w:ascii="Arial" w:hAnsi="Arial" w:cs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C610EE"/>
    <w:rPr>
      <w:rFonts w:ascii="Arial" w:hAnsi="Arial" w:cs="Arial"/>
      <w:b/>
      <w:bCs/>
      <w:sz w:val="14"/>
      <w:szCs w:val="14"/>
      <w:lang w:val="x-none" w:eastAsia="en-AU"/>
    </w:rPr>
  </w:style>
  <w:style w:type="paragraph" w:styleId="BodyText">
    <w:name w:val="Body Text"/>
    <w:basedOn w:val="Normal"/>
    <w:link w:val="BodyTextChar"/>
    <w:uiPriority w:val="1"/>
    <w:qFormat/>
    <w:rsid w:val="00C610EE"/>
    <w:pPr>
      <w:spacing w:before="114"/>
      <w:ind w:left="113"/>
    </w:pPr>
    <w:rPr>
      <w:rFonts w:ascii="Arial" w:hAnsi="Arial"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C610EE"/>
    <w:rPr>
      <w:rFonts w:ascii="Arial" w:hAnsi="Arial" w:cs="Arial"/>
      <w:sz w:val="14"/>
      <w:szCs w:val="14"/>
      <w:lang w:val="x-none" w:eastAsia="en-AU"/>
    </w:rPr>
  </w:style>
  <w:style w:type="table" w:styleId="TableGrid">
    <w:name w:val="Table Grid"/>
    <w:basedOn w:val="TableNormal"/>
    <w:uiPriority w:val="39"/>
    <w:rsid w:val="00BC69F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C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3C16"/>
    <w:rPr>
      <w:rFonts w:ascii="Segoe UI" w:hAnsi="Segoe UI" w:cs="Segoe UI"/>
      <w:sz w:val="18"/>
      <w:szCs w:val="18"/>
    </w:rPr>
  </w:style>
  <w:style w:type="paragraph" w:customStyle="1" w:styleId="TableColHd">
    <w:name w:val="TableColHd"/>
    <w:basedOn w:val="Normal"/>
    <w:rsid w:val="00152942"/>
    <w:pPr>
      <w:keepNext/>
      <w:widowControl/>
      <w:tabs>
        <w:tab w:val="left" w:pos="0"/>
      </w:tabs>
      <w:autoSpaceDE/>
      <w:autoSpaceDN/>
      <w:adjustRightInd/>
      <w:spacing w:after="60"/>
    </w:pPr>
    <w:rPr>
      <w:rFonts w:ascii="Arial" w:hAnsi="Arial"/>
      <w:b/>
      <w:sz w:val="18"/>
      <w:szCs w:val="20"/>
      <w:lang w:eastAsia="en-US"/>
    </w:rPr>
  </w:style>
  <w:style w:type="character" w:styleId="Hyperlink">
    <w:name w:val="Hyperlink"/>
    <w:basedOn w:val="DefaultParagraphFont"/>
    <w:uiPriority w:val="99"/>
    <w:rsid w:val="001C215F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15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gislation.act.gov.au/ni/2020-1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F9E87-6074-4379-A110-9479081B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1458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dc:description/>
  <cp:lastPrinted>2020-02-12T22:22:00Z</cp:lastPrinted>
  <dcterms:created xsi:type="dcterms:W3CDTF">2020-02-13T23:14:00Z</dcterms:created>
  <dcterms:modified xsi:type="dcterms:W3CDTF">2020-02-14T01:33:00Z</dcterms:modified>
</cp:coreProperties>
</file>