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CA" w:rsidRDefault="00A61156" w:rsidP="00DA0B26">
      <w:pPr>
        <w:pStyle w:val="BodyText"/>
        <w:overflowPunct w:val="0"/>
        <w:ind w:righ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67B" w:rsidRPr="006B0ECA" w:rsidRDefault="007B467B">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7B467B" w:rsidRPr="006B0ECA" w:rsidRDefault="007B467B">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67B" w:rsidRPr="00D908F9" w:rsidRDefault="007B467B"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7B467B" w:rsidRPr="00D908F9" w:rsidRDefault="007B467B"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extent cx="9553651" cy="2183082"/>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tretch>
                      <a:fillRect/>
                    </a:stretch>
                  </pic:blipFill>
                  <pic:spPr bwMode="auto">
                    <a:xfrm>
                      <a:off x="0" y="0"/>
                      <a:ext cx="9570875"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516"/>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9955D1">
            <w:pPr>
              <w:jc w:val="both"/>
              <w:rPr>
                <w:b/>
                <w:lang w:eastAsia="en-US"/>
              </w:rPr>
            </w:pPr>
            <w:r>
              <w:rPr>
                <w:b/>
                <w:lang w:eastAsia="en-US"/>
              </w:rPr>
              <w:t>REVENUE CIRCULAR PTA0</w:t>
            </w:r>
            <w:r w:rsidR="004E577D">
              <w:rPr>
                <w:b/>
                <w:lang w:eastAsia="en-US"/>
              </w:rPr>
              <w:t>71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4E577D" w:rsidP="004E577D">
            <w:pPr>
              <w:jc w:val="both"/>
              <w:rPr>
                <w:lang w:eastAsia="en-US"/>
              </w:rPr>
            </w:pPr>
            <w:r>
              <w:rPr>
                <w:lang w:eastAsia="en-US"/>
              </w:rPr>
              <w:t xml:space="preserve">Registration for ACT Payroll - </w:t>
            </w:r>
            <w:r w:rsidR="00F44A8D" w:rsidRPr="00F44A8D">
              <w:rPr>
                <w:i/>
                <w:lang w:eastAsia="en-US"/>
              </w:rPr>
              <w:t>Payroll Tax Act 2011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576D5C">
            <w:pPr>
              <w:jc w:val="both"/>
              <w:rPr>
                <w:lang w:eastAsia="en-US"/>
              </w:rPr>
            </w:pPr>
            <w:r>
              <w:rPr>
                <w:lang w:eastAsia="en-US"/>
              </w:rPr>
              <w:t xml:space="preserve">Issue Date: </w:t>
            </w:r>
            <w:r w:rsidR="00576D5C">
              <w:rPr>
                <w:lang w:eastAsia="en-US"/>
              </w:rPr>
              <w:t>30 June</w:t>
            </w:r>
            <w:r w:rsidR="00692CD4">
              <w:rPr>
                <w:lang w:eastAsia="en-US"/>
              </w:rPr>
              <w:t xml:space="preserve"> 2011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8E4C38">
            <w:pPr>
              <w:jc w:val="both"/>
            </w:pPr>
            <w:r>
              <w:t>Status: Current</w:t>
            </w:r>
            <w:r w:rsidR="00BB7D19">
              <w:t xml:space="preserve"> – Effective </w:t>
            </w:r>
            <w:r w:rsidR="008E4C38">
              <w:rPr>
                <w:lang w:eastAsia="en-US"/>
              </w:rPr>
              <w:t>1 July 2011</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AD4741">
            <w:pPr>
              <w:jc w:val="both"/>
            </w:pPr>
            <w:r>
              <w:t xml:space="preserve">Previous Circular: </w:t>
            </w:r>
            <w:r w:rsidR="00692CD4">
              <w:t>-</w:t>
            </w:r>
            <w:r w:rsidR="004E577D">
              <w:t>PTX009</w:t>
            </w:r>
          </w:p>
        </w:tc>
      </w:tr>
    </w:tbl>
    <w:p w:rsidR="00F44A8D" w:rsidRPr="00AD4741" w:rsidRDefault="00BB7D19" w:rsidP="004E577D">
      <w:pPr>
        <w:pStyle w:val="Heading1"/>
        <w:spacing w:before="60" w:after="60" w:line="240" w:lineRule="auto"/>
        <w:ind w:left="1701" w:hanging="567"/>
        <w:jc w:val="both"/>
      </w:pPr>
      <w:r>
        <w:t>Preamble</w:t>
      </w:r>
    </w:p>
    <w:p w:rsidR="004E577D" w:rsidRDefault="004E577D" w:rsidP="004E577D">
      <w:pPr>
        <w:adjustRightInd w:val="0"/>
        <w:spacing w:before="60" w:after="60"/>
        <w:ind w:left="1134"/>
        <w:rPr>
          <w:rFonts w:cs="Arial"/>
        </w:rPr>
      </w:pPr>
      <w:r>
        <w:rPr>
          <w:rFonts w:cs="Arial"/>
        </w:rPr>
        <w:t xml:space="preserve">The </w:t>
      </w:r>
      <w:r>
        <w:rPr>
          <w:rFonts w:cs="Arial"/>
          <w:i/>
        </w:rPr>
        <w:t>Payroll Tax Act 2011</w:t>
      </w:r>
      <w:r>
        <w:rPr>
          <w:rFonts w:cs="Arial"/>
        </w:rPr>
        <w:t xml:space="preserve"> (the Act), which commenced on 1 July 2011, rewrites the </w:t>
      </w:r>
      <w:r>
        <w:rPr>
          <w:rFonts w:cs="Arial"/>
          <w:i/>
        </w:rPr>
        <w:t>Payroll Tax Act 1987</w:t>
      </w:r>
      <w:r>
        <w:rPr>
          <w:rFonts w:cs="Arial"/>
        </w:rPr>
        <w:t xml:space="preserve"> (the 1987 Act) and harmonises the payroll tax legislation in the Australian jurisdictions.  </w:t>
      </w:r>
    </w:p>
    <w:p w:rsidR="004E577D" w:rsidRDefault="004E577D" w:rsidP="004E577D">
      <w:pPr>
        <w:shd w:val="clear" w:color="auto" w:fill="FFFFFF"/>
        <w:tabs>
          <w:tab w:val="left" w:pos="1701"/>
        </w:tabs>
        <w:spacing w:before="60" w:after="60"/>
        <w:ind w:left="1701" w:hanging="567"/>
        <w:jc w:val="both"/>
        <w:rPr>
          <w:rFonts w:cs="Arial"/>
        </w:rPr>
      </w:pPr>
      <w:r>
        <w:rPr>
          <w:rFonts w:cs="Arial"/>
        </w:rPr>
        <w:t>1.</w:t>
      </w:r>
      <w:r>
        <w:rPr>
          <w:rFonts w:cs="Arial"/>
        </w:rPr>
        <w:tab/>
        <w:t>The Act imposes a liability to ACT payroll tax on an employer for any wages paid or payable by the employer for services rendered or performed in, or partly in, the ACT.</w:t>
      </w:r>
    </w:p>
    <w:p w:rsidR="007B467B" w:rsidRPr="00DA4FA0" w:rsidRDefault="00576D5C" w:rsidP="004E577D">
      <w:pPr>
        <w:spacing w:before="60" w:after="60"/>
        <w:ind w:left="1134"/>
        <w:jc w:val="both"/>
        <w:outlineLvl w:val="1"/>
        <w:rPr>
          <w:rFonts w:cs="Arial"/>
          <w:b/>
          <w:bCs/>
          <w:color w:val="000000"/>
          <w:sz w:val="26"/>
          <w:szCs w:val="26"/>
        </w:rPr>
      </w:pPr>
      <w:r>
        <w:rPr>
          <w:rFonts w:cs="Arial"/>
          <w:b/>
          <w:bCs/>
          <w:color w:val="000000"/>
          <w:sz w:val="26"/>
          <w:szCs w:val="26"/>
        </w:rPr>
        <w:t>Circular</w:t>
      </w:r>
    </w:p>
    <w:p w:rsidR="004E577D" w:rsidRDefault="004E577D" w:rsidP="004E577D">
      <w:pPr>
        <w:shd w:val="clear" w:color="auto" w:fill="FFFFFF"/>
        <w:tabs>
          <w:tab w:val="left" w:pos="1701"/>
        </w:tabs>
        <w:spacing w:before="60" w:after="60"/>
        <w:ind w:left="1701" w:hanging="567"/>
        <w:rPr>
          <w:rFonts w:cs="Arial"/>
        </w:rPr>
      </w:pPr>
      <w:r>
        <w:rPr>
          <w:rFonts w:cs="Arial"/>
        </w:rPr>
        <w:t>2.</w:t>
      </w:r>
      <w:r>
        <w:rPr>
          <w:rFonts w:cs="Arial"/>
        </w:rPr>
        <w:tab/>
        <w:t xml:space="preserve">This circular provides details of the requirement for employers to register their ACT payroll tax liability with the Commissioner for ACT Revenue. </w:t>
      </w:r>
    </w:p>
    <w:p w:rsidR="004E577D" w:rsidRPr="004E577D" w:rsidRDefault="004E577D" w:rsidP="004E577D">
      <w:pPr>
        <w:pStyle w:val="Default"/>
        <w:spacing w:before="60" w:after="60"/>
        <w:ind w:left="1134"/>
        <w:outlineLvl w:val="1"/>
        <w:rPr>
          <w:rFonts w:ascii="Calibri" w:hAnsi="Calibri" w:cs="Arial"/>
          <w:b/>
        </w:rPr>
      </w:pPr>
      <w:r w:rsidRPr="004E577D">
        <w:rPr>
          <w:rFonts w:ascii="Calibri" w:hAnsi="Calibri" w:cs="Arial"/>
          <w:b/>
        </w:rPr>
        <w:t>Registration required when total of all taxable wages paid or payable in Australia exceed ACT threshold</w:t>
      </w:r>
    </w:p>
    <w:p w:rsidR="004E577D" w:rsidRDefault="004E577D" w:rsidP="004E577D">
      <w:pPr>
        <w:pStyle w:val="Default"/>
        <w:spacing w:before="60" w:after="60"/>
        <w:ind w:left="1701" w:hanging="567"/>
        <w:rPr>
          <w:rFonts w:ascii="Calibri" w:hAnsi="Calibri" w:cs="Arial"/>
        </w:rPr>
      </w:pPr>
      <w:r>
        <w:rPr>
          <w:rFonts w:ascii="Calibri" w:hAnsi="Calibri" w:cs="Arial"/>
        </w:rPr>
        <w:t>3.</w:t>
      </w:r>
      <w:r>
        <w:rPr>
          <w:rFonts w:ascii="Calibri" w:hAnsi="Calibri" w:cs="Arial"/>
        </w:rPr>
        <w:tab/>
        <w:t xml:space="preserve">The Act imposes a liability to ACT payroll tax on an employer for certain </w:t>
      </w:r>
      <w:r>
        <w:rPr>
          <w:rFonts w:ascii="Calibri" w:hAnsi="Calibri" w:cs="Arial"/>
          <w:color w:val="auto"/>
        </w:rPr>
        <w:t>wages (refer to Part 3 of the Act) paid</w:t>
      </w:r>
      <w:r>
        <w:rPr>
          <w:rFonts w:ascii="Calibri" w:hAnsi="Calibri" w:cs="Arial"/>
        </w:rPr>
        <w:t xml:space="preserve"> or payable that exceed the determined monthly amount for services rendered or performed in, or partly in, the ACT.  The relevant determination, made by Disallowable </w:t>
      </w:r>
      <w:r>
        <w:rPr>
          <w:rFonts w:ascii="Calibri" w:hAnsi="Calibri" w:cs="Arial"/>
          <w:color w:val="auto"/>
        </w:rPr>
        <w:t xml:space="preserve">Instrument under section 139 of the </w:t>
      </w:r>
      <w:r>
        <w:rPr>
          <w:rFonts w:ascii="Calibri" w:hAnsi="Calibri" w:cs="Arial"/>
          <w:i/>
          <w:iCs/>
          <w:color w:val="auto"/>
        </w:rPr>
        <w:t>Taxation Administration Act 1999</w:t>
      </w:r>
      <w:r>
        <w:rPr>
          <w:rFonts w:ascii="Calibri" w:hAnsi="Calibri" w:cs="Arial"/>
          <w:color w:val="auto"/>
        </w:rPr>
        <w:t>, is available at:</w:t>
      </w:r>
      <w:r>
        <w:rPr>
          <w:rFonts w:ascii="Calibri" w:hAnsi="Calibri" w:cs="Arial"/>
        </w:rPr>
        <w:t xml:space="preserve"> </w:t>
      </w:r>
      <w:bookmarkStart w:id="0" w:name="OLE_LINK2"/>
      <w:bookmarkStart w:id="1" w:name="OLE_LINK1"/>
      <w:r>
        <w:rPr>
          <w:rFonts w:ascii="Calibri" w:hAnsi="Calibri" w:cs="Arial"/>
          <w:color w:val="0000FF"/>
          <w:u w:val="single"/>
        </w:rPr>
        <w:t>http://www.legislation.act.gov.au/a/1999-4/di.asp</w:t>
      </w:r>
      <w:bookmarkEnd w:id="0"/>
      <w:bookmarkEnd w:id="1"/>
      <w:r>
        <w:rPr>
          <w:rFonts w:ascii="Calibri" w:hAnsi="Calibri" w:cs="Arial"/>
        </w:rPr>
        <w:t xml:space="preserve">. </w:t>
      </w:r>
    </w:p>
    <w:p w:rsidR="004E577D" w:rsidRDefault="004E577D" w:rsidP="004E577D">
      <w:pPr>
        <w:adjustRightInd w:val="0"/>
        <w:spacing w:before="60" w:after="60"/>
        <w:ind w:left="1701" w:hanging="567"/>
        <w:rPr>
          <w:rFonts w:cs="Arial"/>
        </w:rPr>
      </w:pPr>
      <w:r>
        <w:rPr>
          <w:rFonts w:cs="Arial"/>
        </w:rPr>
        <w:t>4.</w:t>
      </w:r>
      <w:r>
        <w:rPr>
          <w:rFonts w:cs="Arial"/>
        </w:rPr>
        <w:tab/>
        <w:t>Section 86 of the Act requires all ACT employers to register their liability with the Commissioner for ACT Revenue once the total of all taxable wages paid or payable in Australia exceeds the ACT threshold.</w:t>
      </w:r>
    </w:p>
    <w:p w:rsidR="004E577D" w:rsidRDefault="004E577D" w:rsidP="004E577D">
      <w:pPr>
        <w:pStyle w:val="Default"/>
        <w:spacing w:before="60" w:after="60"/>
        <w:ind w:left="1701" w:hanging="567"/>
        <w:rPr>
          <w:rFonts w:ascii="Calibri" w:hAnsi="Calibri" w:cs="Arial"/>
        </w:rPr>
      </w:pPr>
      <w:r>
        <w:rPr>
          <w:rFonts w:ascii="Calibri" w:hAnsi="Calibri" w:cs="Arial"/>
        </w:rPr>
        <w:t>5.</w:t>
      </w:r>
      <w:r>
        <w:rPr>
          <w:rFonts w:ascii="Calibri" w:hAnsi="Calibri" w:cs="Arial"/>
        </w:rPr>
        <w:tab/>
        <w:t xml:space="preserve">An employer required to </w:t>
      </w:r>
      <w:r>
        <w:rPr>
          <w:rFonts w:ascii="Calibri" w:hAnsi="Calibri" w:cs="Arial"/>
          <w:color w:val="auto"/>
        </w:rPr>
        <w:t>be registered under section 86 of the</w:t>
      </w:r>
      <w:r>
        <w:rPr>
          <w:rFonts w:ascii="Calibri" w:hAnsi="Calibri" w:cs="Arial"/>
        </w:rPr>
        <w:t xml:space="preserve"> </w:t>
      </w:r>
      <w:proofErr w:type="gramStart"/>
      <w:r>
        <w:rPr>
          <w:rFonts w:ascii="Calibri" w:hAnsi="Calibri" w:cs="Arial"/>
        </w:rPr>
        <w:t>Act</w:t>
      </w:r>
      <w:proofErr w:type="gramEnd"/>
      <w:r>
        <w:rPr>
          <w:rFonts w:ascii="Calibri" w:hAnsi="Calibri" w:cs="Arial"/>
        </w:rPr>
        <w:t xml:space="preserve"> must, under </w:t>
      </w:r>
      <w:r>
        <w:rPr>
          <w:rFonts w:ascii="Calibri" w:hAnsi="Calibri" w:cs="Arial"/>
          <w:color w:val="auto"/>
        </w:rPr>
        <w:t>section 87 of the Act, lodge a payroll tax return and pay the applicable payroll tax</w:t>
      </w:r>
      <w:r>
        <w:rPr>
          <w:rFonts w:ascii="Calibri" w:hAnsi="Calibri" w:cs="Arial"/>
        </w:rPr>
        <w:t xml:space="preserve"> in respect of that month and subsequent months. </w:t>
      </w:r>
    </w:p>
    <w:p w:rsidR="004E577D" w:rsidRDefault="004E577D" w:rsidP="004E577D">
      <w:pPr>
        <w:pStyle w:val="Default"/>
        <w:tabs>
          <w:tab w:val="left" w:pos="1701"/>
        </w:tabs>
        <w:spacing w:before="60" w:after="60"/>
        <w:ind w:left="1701" w:hanging="567"/>
        <w:rPr>
          <w:rFonts w:ascii="Calibri" w:hAnsi="Calibri" w:cs="Arial"/>
        </w:rPr>
      </w:pPr>
      <w:r>
        <w:rPr>
          <w:rFonts w:ascii="Calibri" w:hAnsi="Calibri" w:cs="Arial"/>
        </w:rPr>
        <w:t>6.</w:t>
      </w:r>
      <w:r>
        <w:rPr>
          <w:rFonts w:ascii="Calibri" w:hAnsi="Calibri" w:cs="Arial"/>
        </w:rPr>
        <w:tab/>
        <w:t xml:space="preserve">Registration must be made on the approved form: see </w:t>
      </w:r>
      <w:r>
        <w:rPr>
          <w:rFonts w:ascii="Calibri" w:hAnsi="Calibri" w:cs="Arial"/>
          <w:color w:val="0000FF"/>
          <w:u w:val="single"/>
        </w:rPr>
        <w:t xml:space="preserve">www.revenue.act.gov.au </w:t>
      </w:r>
      <w:r>
        <w:rPr>
          <w:rFonts w:ascii="Calibri" w:hAnsi="Calibri" w:cs="Arial"/>
        </w:rPr>
        <w:t xml:space="preserve">under Forms and Circulars.  The approved form can also be obtained from the ACT Revenue Office. </w:t>
      </w:r>
    </w:p>
    <w:p w:rsidR="004E577D" w:rsidRPr="004E577D" w:rsidRDefault="004E577D" w:rsidP="004E577D">
      <w:pPr>
        <w:pStyle w:val="Default"/>
        <w:spacing w:before="60" w:after="60"/>
        <w:ind w:left="1134"/>
        <w:outlineLvl w:val="1"/>
        <w:rPr>
          <w:rFonts w:ascii="Calibri" w:hAnsi="Calibri" w:cs="Arial"/>
          <w:b/>
        </w:rPr>
      </w:pPr>
      <w:r w:rsidRPr="004E577D">
        <w:rPr>
          <w:rFonts w:ascii="Calibri" w:hAnsi="Calibri" w:cs="Arial"/>
          <w:b/>
        </w:rPr>
        <w:t>Re-registration required if registration cancelled</w:t>
      </w:r>
    </w:p>
    <w:p w:rsidR="004E577D" w:rsidRDefault="004E577D" w:rsidP="004E577D">
      <w:pPr>
        <w:pStyle w:val="Default"/>
        <w:spacing w:before="60" w:after="60"/>
        <w:ind w:left="1701" w:hanging="567"/>
        <w:rPr>
          <w:rFonts w:ascii="Calibri" w:hAnsi="Calibri" w:cs="Arial"/>
        </w:rPr>
      </w:pPr>
      <w:r>
        <w:rPr>
          <w:rFonts w:ascii="Calibri" w:hAnsi="Calibri" w:cs="Arial"/>
        </w:rPr>
        <w:t>7.</w:t>
      </w:r>
      <w:r>
        <w:rPr>
          <w:rFonts w:ascii="Calibri" w:hAnsi="Calibri" w:cs="Arial"/>
        </w:rPr>
        <w:tab/>
        <w:t xml:space="preserve">If a registration has been cancelled and an employer again becomes liable to payroll tax, it is a requirement to register again. </w:t>
      </w:r>
    </w:p>
    <w:p w:rsidR="00BF57BC" w:rsidRPr="00063029" w:rsidRDefault="00BF57BC" w:rsidP="00BF57BC">
      <w:pPr>
        <w:widowControl/>
        <w:suppressAutoHyphens w:val="0"/>
        <w:autoSpaceDE/>
        <w:autoSpaceDN/>
        <w:ind w:left="2268"/>
        <w:jc w:val="both"/>
        <w:textAlignment w:val="auto"/>
      </w:pPr>
    </w:p>
    <w:p w:rsidR="00861817" w:rsidRPr="00861817" w:rsidRDefault="00861817" w:rsidP="004262BA">
      <w:pPr>
        <w:jc w:val="both"/>
        <w:sectPr w:rsidR="00861817" w:rsidRPr="00861817" w:rsidSect="004E577D">
          <w:headerReference w:type="default" r:id="rId10"/>
          <w:footerReference w:type="default" r:id="rId11"/>
          <w:footerReference w:type="first" r:id="rId12"/>
          <w:pgSz w:w="11910" w:h="16840" w:code="9"/>
          <w:pgMar w:top="-9" w:right="1137" w:bottom="851" w:left="0" w:header="0" w:footer="318" w:gutter="0"/>
          <w:cols w:space="720"/>
          <w:titlePg/>
          <w:docGrid w:linePitch="326"/>
        </w:sectPr>
      </w:pPr>
    </w:p>
    <w:p w:rsidR="004E577D" w:rsidRDefault="004E577D" w:rsidP="004E577D">
      <w:pPr>
        <w:pStyle w:val="Default"/>
        <w:spacing w:before="120" w:after="120"/>
        <w:ind w:left="851"/>
        <w:outlineLvl w:val="1"/>
        <w:rPr>
          <w:rFonts w:ascii="Calibri" w:hAnsi="Calibri" w:cs="Arial"/>
          <w:b/>
          <w:sz w:val="26"/>
          <w:szCs w:val="26"/>
        </w:rPr>
      </w:pPr>
      <w:r>
        <w:rPr>
          <w:rFonts w:ascii="Calibri" w:hAnsi="Calibri" w:cs="Arial"/>
          <w:b/>
          <w:sz w:val="26"/>
          <w:szCs w:val="26"/>
        </w:rPr>
        <w:lastRenderedPageBreak/>
        <w:t>Failing to register an offence</w:t>
      </w:r>
    </w:p>
    <w:p w:rsidR="004E577D" w:rsidRDefault="004E577D" w:rsidP="004E577D">
      <w:pPr>
        <w:pStyle w:val="Default"/>
        <w:tabs>
          <w:tab w:val="left" w:pos="1418"/>
        </w:tabs>
        <w:spacing w:before="120" w:after="120"/>
        <w:ind w:left="1418" w:hanging="567"/>
        <w:jc w:val="both"/>
        <w:rPr>
          <w:rFonts w:ascii="Calibri" w:hAnsi="Calibri" w:cs="Arial"/>
        </w:rPr>
      </w:pPr>
      <w:r>
        <w:rPr>
          <w:rFonts w:ascii="Calibri" w:hAnsi="Calibri" w:cs="Arial"/>
        </w:rPr>
        <w:t>8.</w:t>
      </w:r>
      <w:r>
        <w:rPr>
          <w:rFonts w:ascii="Calibri" w:hAnsi="Calibri" w:cs="Arial"/>
        </w:rPr>
        <w:tab/>
        <w:t>An ACT employer commits an offence if the employer does not apply to be registered within seven (7) days after the end of the month in which the total of all taxable wages paid or payable in Australia exceeds the determined threshold amount.</w:t>
      </w:r>
    </w:p>
    <w:p w:rsidR="004E577D" w:rsidRDefault="004E577D" w:rsidP="004E577D">
      <w:pPr>
        <w:pStyle w:val="Default"/>
        <w:tabs>
          <w:tab w:val="left" w:pos="1418"/>
        </w:tabs>
        <w:spacing w:before="120" w:after="120"/>
        <w:ind w:left="1418" w:hanging="567"/>
        <w:jc w:val="both"/>
        <w:rPr>
          <w:rFonts w:ascii="Calibri" w:hAnsi="Calibri" w:cs="Arial"/>
        </w:rPr>
      </w:pPr>
      <w:r>
        <w:rPr>
          <w:rFonts w:ascii="Calibri" w:hAnsi="Calibri" w:cs="Arial"/>
        </w:rPr>
        <w:t>9.</w:t>
      </w:r>
      <w:r>
        <w:rPr>
          <w:rFonts w:ascii="Calibri" w:hAnsi="Calibri" w:cs="Arial"/>
        </w:rPr>
        <w:tab/>
        <w:t xml:space="preserve">The maximum penalty for failing to register is 250 penalty units. </w:t>
      </w:r>
    </w:p>
    <w:p w:rsidR="008A28D0" w:rsidRDefault="008A28D0" w:rsidP="008A28D0">
      <w:pPr>
        <w:adjustRightInd w:val="0"/>
        <w:ind w:left="851"/>
        <w:rPr>
          <w:rFonts w:cs="Arial"/>
          <w:color w:val="000000"/>
        </w:rPr>
      </w:pPr>
    </w:p>
    <w:p w:rsidR="008A28D0" w:rsidRDefault="008A28D0" w:rsidP="008A28D0">
      <w:pPr>
        <w:adjustRightInd w:val="0"/>
        <w:ind w:left="851"/>
        <w:rPr>
          <w:rFonts w:cs="Arial"/>
          <w:bCs/>
          <w:lang w:eastAsia="en-US"/>
        </w:rPr>
      </w:pPr>
      <w:r>
        <w:rPr>
          <w:rFonts w:cs="Arial"/>
          <w:bCs/>
        </w:rPr>
        <w:t>SIGNED</w:t>
      </w:r>
    </w:p>
    <w:p w:rsidR="008A28D0" w:rsidRDefault="008A28D0" w:rsidP="008A28D0">
      <w:pPr>
        <w:adjustRightInd w:val="0"/>
        <w:ind w:left="851"/>
        <w:rPr>
          <w:rFonts w:cs="Arial"/>
          <w:bCs/>
        </w:rPr>
      </w:pPr>
    </w:p>
    <w:p w:rsidR="008A28D0" w:rsidRDefault="008A28D0" w:rsidP="008A28D0">
      <w:pPr>
        <w:adjustRightInd w:val="0"/>
        <w:ind w:left="851"/>
        <w:rPr>
          <w:rFonts w:cs="Arial"/>
          <w:bCs/>
        </w:rPr>
      </w:pPr>
      <w:r>
        <w:rPr>
          <w:rFonts w:cs="Arial"/>
          <w:bCs/>
        </w:rPr>
        <w:t>David Read</w:t>
      </w:r>
    </w:p>
    <w:p w:rsidR="008A28D0" w:rsidRDefault="008A28D0" w:rsidP="008A28D0">
      <w:pPr>
        <w:adjustRightInd w:val="0"/>
        <w:ind w:left="851"/>
        <w:rPr>
          <w:rFonts w:cs="Arial"/>
        </w:rPr>
      </w:pPr>
      <w:r>
        <w:rPr>
          <w:rFonts w:cs="Arial"/>
        </w:rPr>
        <w:t>Commissioner for ACT Revenue</w:t>
      </w:r>
    </w:p>
    <w:p w:rsidR="008A28D0" w:rsidRDefault="008A28D0" w:rsidP="008A28D0">
      <w:pPr>
        <w:adjustRightInd w:val="0"/>
        <w:ind w:left="851"/>
        <w:rPr>
          <w:rFonts w:cs="Arial"/>
        </w:rPr>
      </w:pPr>
      <w:r>
        <w:rPr>
          <w:rFonts w:cs="Arial"/>
        </w:rPr>
        <w:t xml:space="preserve">30 June 2011 </w:t>
      </w:r>
    </w:p>
    <w:p w:rsidR="008A28D0" w:rsidRDefault="008A28D0" w:rsidP="008A28D0">
      <w:pPr>
        <w:spacing w:before="120" w:after="120"/>
        <w:ind w:left="851" w:right="474"/>
        <w:rPr>
          <w:rFonts w:cs="Arial"/>
        </w:rPr>
      </w:pPr>
    </w:p>
    <w:p w:rsidR="00C75578" w:rsidRPr="000715D3" w:rsidRDefault="00C75578" w:rsidP="008A28D0">
      <w:pPr>
        <w:ind w:left="851"/>
        <w:outlineLvl w:val="1"/>
        <w:rPr>
          <w:rFonts w:cs="Arial"/>
        </w:rPr>
      </w:pPr>
      <w:bookmarkStart w:id="2" w:name="_GoBack"/>
      <w:bookmarkEnd w:id="2"/>
    </w:p>
    <w:sectPr w:rsidR="00C75578" w:rsidRPr="000715D3" w:rsidSect="008A28D0">
      <w:footerReference w:type="even" r:id="rId13"/>
      <w:footerReference w:type="default" r:id="rId14"/>
      <w:headerReference w:type="first" r:id="rId15"/>
      <w:footerReference w:type="first" r:id="rId16"/>
      <w:pgSz w:w="11910" w:h="16840" w:code="9"/>
      <w:pgMar w:top="851" w:right="1278" w:bottom="1100" w:left="238"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67B" w:rsidRDefault="007B467B" w:rsidP="005B0828">
      <w:r>
        <w:separator/>
      </w:r>
    </w:p>
  </w:endnote>
  <w:endnote w:type="continuationSeparator" w:id="0">
    <w:p w:rsidR="007B467B" w:rsidRDefault="007B467B"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7B467B">
    <w:pPr>
      <w:pStyle w:val="BodyText"/>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Pr="00F44A8D" w:rsidRDefault="007B467B"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3C71F0" w:rsidP="007B467B">
    <w:pPr>
      <w:pStyle w:val="Footer"/>
      <w:framePr w:wrap="around" w:vAnchor="text" w:hAnchor="margin" w:xAlign="center" w:y="1"/>
      <w:rPr>
        <w:rStyle w:val="PageNumber"/>
      </w:rPr>
    </w:pPr>
    <w:r>
      <w:rPr>
        <w:rStyle w:val="PageNumber"/>
      </w:rPr>
      <w:fldChar w:fldCharType="begin"/>
    </w:r>
    <w:r w:rsidR="007B467B">
      <w:rPr>
        <w:rStyle w:val="PageNumber"/>
      </w:rPr>
      <w:instrText xml:space="preserve">PAGE  </w:instrText>
    </w:r>
    <w:r>
      <w:rPr>
        <w:rStyle w:val="PageNumber"/>
      </w:rPr>
      <w:fldChar w:fldCharType="end"/>
    </w:r>
  </w:p>
  <w:p w:rsidR="007B467B" w:rsidRDefault="007B46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7B467B" w:rsidP="007B467B">
    <w:pPr>
      <w:pStyle w:val="Foote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F82204" w:rsidP="007B467B">
    <w:pPr>
      <w:pStyle w:val="Footer"/>
      <w:jc w:val="right"/>
    </w:pPr>
    <w:r>
      <w:fldChar w:fldCharType="begin"/>
    </w:r>
    <w:r>
      <w:instrText xml:space="preserve"> PAGE   \* MERGEFORMAT </w:instrText>
    </w:r>
    <w:r>
      <w:fldChar w:fldCharType="separate"/>
    </w:r>
    <w:r w:rsidR="00576D5C">
      <w:rPr>
        <w:noProof/>
      </w:rPr>
      <w:t>12</w:t>
    </w:r>
    <w:r>
      <w:rPr>
        <w:noProof/>
      </w:rPr>
      <w:fldChar w:fldCharType="end"/>
    </w:r>
  </w:p>
  <w:p w:rsidR="007B467B" w:rsidRPr="004F46AC" w:rsidRDefault="007B467B">
    <w:pPr>
      <w:pStyle w:val="Footer"/>
      <w:rPr>
        <w:rFonts w:cs="Arial"/>
        <w:color w:val="FFFFFF"/>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67B" w:rsidRDefault="007B467B" w:rsidP="005B0828">
      <w:r w:rsidRPr="005B0828">
        <w:rPr>
          <w:color w:val="000000"/>
        </w:rPr>
        <w:separator/>
      </w:r>
    </w:p>
  </w:footnote>
  <w:footnote w:type="continuationSeparator" w:id="0">
    <w:p w:rsidR="007B467B" w:rsidRDefault="007B467B"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7B467B" w:rsidP="00822F9C">
    <w:pPr>
      <w:pStyle w:val="Header"/>
      <w:tabs>
        <w:tab w:val="clear" w:pos="4513"/>
        <w:tab w:val="clear" w:pos="9026"/>
      </w:tabs>
      <w:ind w:left="-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Pr="007110A2" w:rsidRDefault="007B467B" w:rsidP="007B46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1BA40807"/>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nsid w:val="1C1345C5"/>
    <w:multiLevelType w:val="hybridMultilevel"/>
    <w:tmpl w:val="40D248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C285FE2"/>
    <w:multiLevelType w:val="hybridMultilevel"/>
    <w:tmpl w:val="461AC206"/>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4">
    <w:nsid w:val="2255574B"/>
    <w:multiLevelType w:val="hybridMultilevel"/>
    <w:tmpl w:val="22C2DB48"/>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29D451D6"/>
    <w:multiLevelType w:val="hybridMultilevel"/>
    <w:tmpl w:val="F18ADE8E"/>
    <w:lvl w:ilvl="0" w:tplc="85B0232A">
      <w:start w:val="1"/>
      <w:numFmt w:val="decimal"/>
      <w:lvlText w:val="%1."/>
      <w:lvlJc w:val="left"/>
      <w:pPr>
        <w:ind w:left="720" w:hanging="360"/>
      </w:pPr>
      <w:rPr>
        <w:rFonts w:cs="Times New Roman"/>
        <w:b w:val="0"/>
        <w:i w:val="0"/>
      </w:rPr>
    </w:lvl>
    <w:lvl w:ilvl="1" w:tplc="770C8140">
      <w:start w:val="1"/>
      <w:numFmt w:val="lowerLetter"/>
      <w:lvlText w:val="%2."/>
      <w:lvlJc w:val="left"/>
      <w:pPr>
        <w:ind w:left="2345" w:hanging="360"/>
      </w:pPr>
      <w:rPr>
        <w:rFonts w:cs="Times New Roman" w:hint="default"/>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6">
    <w:nsid w:val="3DBB66AF"/>
    <w:multiLevelType w:val="hybridMultilevel"/>
    <w:tmpl w:val="38C8D392"/>
    <w:lvl w:ilvl="0" w:tplc="E1565F5E">
      <w:start w:val="1"/>
      <w:numFmt w:val="lowerLetter"/>
      <w:lvlText w:val="(%1)"/>
      <w:lvlJc w:val="left"/>
      <w:pPr>
        <w:tabs>
          <w:tab w:val="num" w:pos="1440"/>
        </w:tabs>
        <w:ind w:left="1440" w:hanging="720"/>
      </w:pPr>
      <w:rPr>
        <w:rFonts w:cs="Times New Roman"/>
      </w:rPr>
    </w:lvl>
    <w:lvl w:ilvl="1" w:tplc="0C090019">
      <w:start w:val="1"/>
      <w:numFmt w:val="lowerLetter"/>
      <w:lvlText w:val="%2."/>
      <w:lvlJc w:val="left"/>
      <w:pPr>
        <w:tabs>
          <w:tab w:val="num" w:pos="1800"/>
        </w:tabs>
        <w:ind w:left="1800" w:hanging="360"/>
      </w:pPr>
      <w:rPr>
        <w:rFonts w:cs="Times New Roman"/>
      </w:rPr>
    </w:lvl>
    <w:lvl w:ilvl="2" w:tplc="0C09001B">
      <w:start w:val="1"/>
      <w:numFmt w:val="lowerRoman"/>
      <w:lvlText w:val="%3."/>
      <w:lvlJc w:val="right"/>
      <w:pPr>
        <w:tabs>
          <w:tab w:val="num" w:pos="2520"/>
        </w:tabs>
        <w:ind w:left="2520" w:hanging="180"/>
      </w:pPr>
      <w:rPr>
        <w:rFonts w:cs="Times New Roman"/>
      </w:rPr>
    </w:lvl>
    <w:lvl w:ilvl="3" w:tplc="0C09000F">
      <w:start w:val="1"/>
      <w:numFmt w:val="decimal"/>
      <w:lvlText w:val="%4."/>
      <w:lvlJc w:val="left"/>
      <w:pPr>
        <w:tabs>
          <w:tab w:val="num" w:pos="3240"/>
        </w:tabs>
        <w:ind w:left="3240" w:hanging="360"/>
      </w:pPr>
      <w:rPr>
        <w:rFonts w:cs="Times New Roman"/>
      </w:rPr>
    </w:lvl>
    <w:lvl w:ilvl="4" w:tplc="0C090019">
      <w:start w:val="1"/>
      <w:numFmt w:val="lowerLetter"/>
      <w:lvlText w:val="%5."/>
      <w:lvlJc w:val="left"/>
      <w:pPr>
        <w:tabs>
          <w:tab w:val="num" w:pos="3960"/>
        </w:tabs>
        <w:ind w:left="3960" w:hanging="360"/>
      </w:pPr>
      <w:rPr>
        <w:rFonts w:cs="Times New Roman"/>
      </w:rPr>
    </w:lvl>
    <w:lvl w:ilvl="5" w:tplc="0C09001B">
      <w:start w:val="1"/>
      <w:numFmt w:val="lowerRoman"/>
      <w:lvlText w:val="%6."/>
      <w:lvlJc w:val="right"/>
      <w:pPr>
        <w:tabs>
          <w:tab w:val="num" w:pos="4680"/>
        </w:tabs>
        <w:ind w:left="4680" w:hanging="180"/>
      </w:pPr>
      <w:rPr>
        <w:rFonts w:cs="Times New Roman"/>
      </w:rPr>
    </w:lvl>
    <w:lvl w:ilvl="6" w:tplc="0C09000F">
      <w:start w:val="1"/>
      <w:numFmt w:val="decimal"/>
      <w:lvlText w:val="%7."/>
      <w:lvlJc w:val="left"/>
      <w:pPr>
        <w:tabs>
          <w:tab w:val="num" w:pos="5400"/>
        </w:tabs>
        <w:ind w:left="5400" w:hanging="360"/>
      </w:pPr>
      <w:rPr>
        <w:rFonts w:cs="Times New Roman"/>
      </w:rPr>
    </w:lvl>
    <w:lvl w:ilvl="7" w:tplc="0C090019">
      <w:start w:val="1"/>
      <w:numFmt w:val="lowerLetter"/>
      <w:lvlText w:val="%8."/>
      <w:lvlJc w:val="left"/>
      <w:pPr>
        <w:tabs>
          <w:tab w:val="num" w:pos="6120"/>
        </w:tabs>
        <w:ind w:left="6120" w:hanging="360"/>
      </w:pPr>
      <w:rPr>
        <w:rFonts w:cs="Times New Roman"/>
      </w:rPr>
    </w:lvl>
    <w:lvl w:ilvl="8" w:tplc="0C09001B">
      <w:start w:val="1"/>
      <w:numFmt w:val="lowerRoman"/>
      <w:lvlText w:val="%9."/>
      <w:lvlJc w:val="right"/>
      <w:pPr>
        <w:tabs>
          <w:tab w:val="num" w:pos="6840"/>
        </w:tabs>
        <w:ind w:left="6840" w:hanging="180"/>
      </w:pPr>
      <w:rPr>
        <w:rFonts w:cs="Times New Roman"/>
      </w:rPr>
    </w:lvl>
  </w:abstractNum>
  <w:abstractNum w:abstractNumId="7">
    <w:nsid w:val="3FAA0D49"/>
    <w:multiLevelType w:val="hybridMultilevel"/>
    <w:tmpl w:val="74E4EB90"/>
    <w:lvl w:ilvl="0" w:tplc="0C090001">
      <w:start w:val="1"/>
      <w:numFmt w:val="bullet"/>
      <w:lvlText w:val=""/>
      <w:lvlJc w:val="left"/>
      <w:pPr>
        <w:tabs>
          <w:tab w:val="num" w:pos="1353"/>
        </w:tabs>
        <w:ind w:left="1353" w:hanging="360"/>
      </w:pPr>
      <w:rPr>
        <w:rFonts w:ascii="Symbol" w:hAnsi="Symbol" w:hint="default"/>
      </w:rPr>
    </w:lvl>
    <w:lvl w:ilvl="1" w:tplc="0C090003">
      <w:start w:val="1"/>
      <w:numFmt w:val="bullet"/>
      <w:lvlText w:val="o"/>
      <w:lvlJc w:val="left"/>
      <w:pPr>
        <w:tabs>
          <w:tab w:val="num" w:pos="2073"/>
        </w:tabs>
        <w:ind w:left="2073" w:hanging="360"/>
      </w:pPr>
      <w:rPr>
        <w:rFonts w:ascii="Courier New" w:hAnsi="Courier New" w:hint="default"/>
      </w:rPr>
    </w:lvl>
    <w:lvl w:ilvl="2" w:tplc="0C090005">
      <w:start w:val="1"/>
      <w:numFmt w:val="bullet"/>
      <w:lvlText w:val=""/>
      <w:lvlJc w:val="left"/>
      <w:pPr>
        <w:tabs>
          <w:tab w:val="num" w:pos="2793"/>
        </w:tabs>
        <w:ind w:left="2793" w:hanging="360"/>
      </w:pPr>
      <w:rPr>
        <w:rFonts w:ascii="Wingdings" w:hAnsi="Wingdings" w:hint="default"/>
      </w:rPr>
    </w:lvl>
    <w:lvl w:ilvl="3" w:tplc="0C090001" w:tentative="1">
      <w:start w:val="1"/>
      <w:numFmt w:val="bullet"/>
      <w:lvlText w:val=""/>
      <w:lvlJc w:val="left"/>
      <w:pPr>
        <w:tabs>
          <w:tab w:val="num" w:pos="3513"/>
        </w:tabs>
        <w:ind w:left="3513" w:hanging="360"/>
      </w:pPr>
      <w:rPr>
        <w:rFonts w:ascii="Symbol" w:hAnsi="Symbol" w:hint="default"/>
      </w:rPr>
    </w:lvl>
    <w:lvl w:ilvl="4" w:tplc="0C090003" w:tentative="1">
      <w:start w:val="1"/>
      <w:numFmt w:val="bullet"/>
      <w:lvlText w:val="o"/>
      <w:lvlJc w:val="left"/>
      <w:pPr>
        <w:tabs>
          <w:tab w:val="num" w:pos="4233"/>
        </w:tabs>
        <w:ind w:left="4233" w:hanging="360"/>
      </w:pPr>
      <w:rPr>
        <w:rFonts w:ascii="Courier New" w:hAnsi="Courier New" w:hint="default"/>
      </w:rPr>
    </w:lvl>
    <w:lvl w:ilvl="5" w:tplc="0C090005" w:tentative="1">
      <w:start w:val="1"/>
      <w:numFmt w:val="bullet"/>
      <w:lvlText w:val=""/>
      <w:lvlJc w:val="left"/>
      <w:pPr>
        <w:tabs>
          <w:tab w:val="num" w:pos="4953"/>
        </w:tabs>
        <w:ind w:left="4953" w:hanging="360"/>
      </w:pPr>
      <w:rPr>
        <w:rFonts w:ascii="Wingdings" w:hAnsi="Wingdings" w:hint="default"/>
      </w:rPr>
    </w:lvl>
    <w:lvl w:ilvl="6" w:tplc="0C090001" w:tentative="1">
      <w:start w:val="1"/>
      <w:numFmt w:val="bullet"/>
      <w:lvlText w:val=""/>
      <w:lvlJc w:val="left"/>
      <w:pPr>
        <w:tabs>
          <w:tab w:val="num" w:pos="5673"/>
        </w:tabs>
        <w:ind w:left="5673" w:hanging="360"/>
      </w:pPr>
      <w:rPr>
        <w:rFonts w:ascii="Symbol" w:hAnsi="Symbol" w:hint="default"/>
      </w:rPr>
    </w:lvl>
    <w:lvl w:ilvl="7" w:tplc="0C090003" w:tentative="1">
      <w:start w:val="1"/>
      <w:numFmt w:val="bullet"/>
      <w:lvlText w:val="o"/>
      <w:lvlJc w:val="left"/>
      <w:pPr>
        <w:tabs>
          <w:tab w:val="num" w:pos="6393"/>
        </w:tabs>
        <w:ind w:left="6393" w:hanging="360"/>
      </w:pPr>
      <w:rPr>
        <w:rFonts w:ascii="Courier New" w:hAnsi="Courier New" w:hint="default"/>
      </w:rPr>
    </w:lvl>
    <w:lvl w:ilvl="8" w:tplc="0C090005" w:tentative="1">
      <w:start w:val="1"/>
      <w:numFmt w:val="bullet"/>
      <w:lvlText w:val=""/>
      <w:lvlJc w:val="left"/>
      <w:pPr>
        <w:tabs>
          <w:tab w:val="num" w:pos="7113"/>
        </w:tabs>
        <w:ind w:left="7113" w:hanging="360"/>
      </w:pPr>
      <w:rPr>
        <w:rFonts w:ascii="Wingdings" w:hAnsi="Wingdings" w:hint="default"/>
      </w:rPr>
    </w:lvl>
  </w:abstractNum>
  <w:abstractNum w:abstractNumId="8">
    <w:nsid w:val="453845B3"/>
    <w:multiLevelType w:val="hybridMultilevel"/>
    <w:tmpl w:val="BA7CAABA"/>
    <w:lvl w:ilvl="0" w:tplc="2C2ABBE2">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nsid w:val="49DF2C45"/>
    <w:multiLevelType w:val="hybridMultilevel"/>
    <w:tmpl w:val="E256B0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5D170C23"/>
    <w:multiLevelType w:val="hybridMultilevel"/>
    <w:tmpl w:val="8F6EF0F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5E3728FA"/>
    <w:multiLevelType w:val="hybridMultilevel"/>
    <w:tmpl w:val="37C4C5B2"/>
    <w:lvl w:ilvl="0" w:tplc="FCBEB9FA">
      <w:start w:val="51"/>
      <w:numFmt w:val="bullet"/>
      <w:lvlText w:val="•"/>
      <w:lvlJc w:val="left"/>
      <w:pPr>
        <w:ind w:left="1069" w:hanging="360"/>
      </w:pPr>
      <w:rPr>
        <w:rFonts w:ascii="Calibri" w:eastAsia="Times New Roman" w:hAnsi="Calibri" w:cs="SymbolMT"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2">
    <w:nsid w:val="5ECB59DF"/>
    <w:multiLevelType w:val="hybridMultilevel"/>
    <w:tmpl w:val="F904D254"/>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3">
    <w:nsid w:val="60334DD5"/>
    <w:multiLevelType w:val="hybridMultilevel"/>
    <w:tmpl w:val="47D07F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67A87087"/>
    <w:multiLevelType w:val="hybridMultilevel"/>
    <w:tmpl w:val="67E666C8"/>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5">
    <w:nsid w:val="7AE20D07"/>
    <w:multiLevelType w:val="hybridMultilevel"/>
    <w:tmpl w:val="D3A02E94"/>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
  </w:num>
  <w:num w:numId="5">
    <w:abstractNumId w:val="5"/>
  </w:num>
  <w:num w:numId="6">
    <w:abstractNumId w:val="10"/>
  </w:num>
  <w:num w:numId="7">
    <w:abstractNumId w:val="2"/>
  </w:num>
  <w:num w:numId="8">
    <w:abstractNumId w:val="14"/>
  </w:num>
  <w:num w:numId="9">
    <w:abstractNumId w:val="13"/>
  </w:num>
  <w:num w:numId="10">
    <w:abstractNumId w:val="9"/>
  </w:num>
  <w:num w:numId="11">
    <w:abstractNumId w:val="4"/>
  </w:num>
  <w:num w:numId="12">
    <w:abstractNumId w:val="15"/>
  </w:num>
  <w:num w:numId="13">
    <w:abstractNumId w:val="7"/>
  </w:num>
  <w:num w:numId="14">
    <w:abstractNumId w:val="3"/>
  </w:num>
  <w:num w:numId="15">
    <w:abstractNumId w:val="12"/>
  </w:num>
  <w:num w:numId="16">
    <w:abstractNumId w:val="1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28"/>
    <w:rsid w:val="00063029"/>
    <w:rsid w:val="000D649E"/>
    <w:rsid w:val="000D64C3"/>
    <w:rsid w:val="00105197"/>
    <w:rsid w:val="00163CCB"/>
    <w:rsid w:val="00193116"/>
    <w:rsid w:val="001B5315"/>
    <w:rsid w:val="00210C1D"/>
    <w:rsid w:val="002240B1"/>
    <w:rsid w:val="00244887"/>
    <w:rsid w:val="002713A8"/>
    <w:rsid w:val="00275FAE"/>
    <w:rsid w:val="0030677F"/>
    <w:rsid w:val="00310E54"/>
    <w:rsid w:val="00341AF6"/>
    <w:rsid w:val="00391CB7"/>
    <w:rsid w:val="003C71F0"/>
    <w:rsid w:val="003D623B"/>
    <w:rsid w:val="003E285F"/>
    <w:rsid w:val="004262BA"/>
    <w:rsid w:val="004C477A"/>
    <w:rsid w:val="004E4136"/>
    <w:rsid w:val="004E577D"/>
    <w:rsid w:val="00537051"/>
    <w:rsid w:val="00576D5C"/>
    <w:rsid w:val="005B0828"/>
    <w:rsid w:val="00682A86"/>
    <w:rsid w:val="00692CD4"/>
    <w:rsid w:val="006B0ECA"/>
    <w:rsid w:val="006B2035"/>
    <w:rsid w:val="00712A2B"/>
    <w:rsid w:val="00773F5B"/>
    <w:rsid w:val="007B467B"/>
    <w:rsid w:val="00822F9C"/>
    <w:rsid w:val="00861817"/>
    <w:rsid w:val="008A28D0"/>
    <w:rsid w:val="008A72D3"/>
    <w:rsid w:val="008B1CDE"/>
    <w:rsid w:val="008E4C38"/>
    <w:rsid w:val="0096709E"/>
    <w:rsid w:val="009955D1"/>
    <w:rsid w:val="00A17F5F"/>
    <w:rsid w:val="00A50562"/>
    <w:rsid w:val="00A61156"/>
    <w:rsid w:val="00A812EA"/>
    <w:rsid w:val="00AA3E6E"/>
    <w:rsid w:val="00AD4741"/>
    <w:rsid w:val="00AF7801"/>
    <w:rsid w:val="00B4488E"/>
    <w:rsid w:val="00B87EF3"/>
    <w:rsid w:val="00BB7D19"/>
    <w:rsid w:val="00BE0B6D"/>
    <w:rsid w:val="00BF57BC"/>
    <w:rsid w:val="00BF64D2"/>
    <w:rsid w:val="00C24521"/>
    <w:rsid w:val="00C75578"/>
    <w:rsid w:val="00C82405"/>
    <w:rsid w:val="00C8554F"/>
    <w:rsid w:val="00CD0ACD"/>
    <w:rsid w:val="00CD6913"/>
    <w:rsid w:val="00D908F9"/>
    <w:rsid w:val="00DA0B26"/>
    <w:rsid w:val="00DA6ED5"/>
    <w:rsid w:val="00F44A8D"/>
    <w:rsid w:val="00F822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99"/>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table" w:styleId="TableGrid">
    <w:name w:val="Table Grid"/>
    <w:basedOn w:val="TableNormal"/>
    <w:uiPriority w:val="99"/>
    <w:rsid w:val="007B467B"/>
    <w:pPr>
      <w:autoSpaceDN/>
      <w:spacing w:after="0" w:line="240" w:lineRule="auto"/>
      <w:textAlignment w:val="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7B467B"/>
    <w:rPr>
      <w:rFonts w:cs="Times New Roman"/>
    </w:rPr>
  </w:style>
  <w:style w:type="paragraph" w:customStyle="1" w:styleId="Level2">
    <w:name w:val="Level 2"/>
    <w:basedOn w:val="Normal"/>
    <w:uiPriority w:val="99"/>
    <w:rsid w:val="007B467B"/>
    <w:pPr>
      <w:widowControl/>
      <w:suppressAutoHyphens w:val="0"/>
      <w:autoSpaceDE/>
      <w:autoSpaceDN/>
      <w:spacing w:line="240" w:lineRule="atLeast"/>
      <w:textAlignment w:val="auto"/>
    </w:pPr>
    <w:rPr>
      <w:rFonts w:ascii="Arial" w:eastAsia="Times" w:hAnsi="Arial" w:cs="Arial"/>
      <w:bCs/>
      <w:color w:val="808000"/>
      <w:sz w:val="28"/>
      <w:szCs w:val="28"/>
      <w:lang w:eastAsia="en-US"/>
    </w:rPr>
  </w:style>
  <w:style w:type="paragraph" w:customStyle="1" w:styleId="NormalText">
    <w:name w:val="Normal Text"/>
    <w:basedOn w:val="Normal"/>
    <w:uiPriority w:val="99"/>
    <w:rsid w:val="007B467B"/>
    <w:pPr>
      <w:widowControl/>
      <w:suppressAutoHyphens w:val="0"/>
      <w:adjustRightInd w:val="0"/>
      <w:jc w:val="both"/>
      <w:textAlignment w:val="auto"/>
    </w:pPr>
    <w:rPr>
      <w:rFonts w:ascii="Arial" w:hAnsi="Arial" w:cs="Arial"/>
      <w:color w:val="000000"/>
      <w:sz w:val="22"/>
      <w:szCs w:val="22"/>
    </w:rPr>
  </w:style>
  <w:style w:type="paragraph" w:customStyle="1" w:styleId="OSRBodyText">
    <w:name w:val="OSR Body Text"/>
    <w:basedOn w:val="Normal"/>
    <w:uiPriority w:val="99"/>
    <w:rsid w:val="00576D5C"/>
    <w:pPr>
      <w:widowControl/>
      <w:suppressAutoHyphens w:val="0"/>
      <w:autoSpaceDE/>
      <w:autoSpaceDN/>
      <w:spacing w:after="220"/>
      <w:textAlignment w:val="auto"/>
    </w:pPr>
    <w:rPr>
      <w:rFonts w:ascii="Arial" w:eastAsia="Times" w:hAnsi="Arial" w:cs="Arial"/>
      <w:sz w:val="22"/>
      <w:lang w:eastAsia="en-US"/>
    </w:rPr>
  </w:style>
  <w:style w:type="paragraph" w:customStyle="1" w:styleId="Default">
    <w:name w:val="Default"/>
    <w:uiPriority w:val="99"/>
    <w:rsid w:val="00BF57BC"/>
    <w:pPr>
      <w:autoSpaceDE w:val="0"/>
      <w:adjustRightInd w:val="0"/>
      <w:spacing w:after="0" w:line="240" w:lineRule="auto"/>
      <w:textAlignment w:val="auto"/>
    </w:pPr>
    <w:rPr>
      <w:rFonts w:ascii="Times New Roman" w:eastAsia="Times"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99"/>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table" w:styleId="TableGrid">
    <w:name w:val="Table Grid"/>
    <w:basedOn w:val="TableNormal"/>
    <w:uiPriority w:val="99"/>
    <w:rsid w:val="007B467B"/>
    <w:pPr>
      <w:autoSpaceDN/>
      <w:spacing w:after="0" w:line="240" w:lineRule="auto"/>
      <w:textAlignment w:val="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7B467B"/>
    <w:rPr>
      <w:rFonts w:cs="Times New Roman"/>
    </w:rPr>
  </w:style>
  <w:style w:type="paragraph" w:customStyle="1" w:styleId="Level2">
    <w:name w:val="Level 2"/>
    <w:basedOn w:val="Normal"/>
    <w:uiPriority w:val="99"/>
    <w:rsid w:val="007B467B"/>
    <w:pPr>
      <w:widowControl/>
      <w:suppressAutoHyphens w:val="0"/>
      <w:autoSpaceDE/>
      <w:autoSpaceDN/>
      <w:spacing w:line="240" w:lineRule="atLeast"/>
      <w:textAlignment w:val="auto"/>
    </w:pPr>
    <w:rPr>
      <w:rFonts w:ascii="Arial" w:eastAsia="Times" w:hAnsi="Arial" w:cs="Arial"/>
      <w:bCs/>
      <w:color w:val="808000"/>
      <w:sz w:val="28"/>
      <w:szCs w:val="28"/>
      <w:lang w:eastAsia="en-US"/>
    </w:rPr>
  </w:style>
  <w:style w:type="paragraph" w:customStyle="1" w:styleId="NormalText">
    <w:name w:val="Normal Text"/>
    <w:basedOn w:val="Normal"/>
    <w:uiPriority w:val="99"/>
    <w:rsid w:val="007B467B"/>
    <w:pPr>
      <w:widowControl/>
      <w:suppressAutoHyphens w:val="0"/>
      <w:adjustRightInd w:val="0"/>
      <w:jc w:val="both"/>
      <w:textAlignment w:val="auto"/>
    </w:pPr>
    <w:rPr>
      <w:rFonts w:ascii="Arial" w:hAnsi="Arial" w:cs="Arial"/>
      <w:color w:val="000000"/>
      <w:sz w:val="22"/>
      <w:szCs w:val="22"/>
    </w:rPr>
  </w:style>
  <w:style w:type="paragraph" w:customStyle="1" w:styleId="OSRBodyText">
    <w:name w:val="OSR Body Text"/>
    <w:basedOn w:val="Normal"/>
    <w:uiPriority w:val="99"/>
    <w:rsid w:val="00576D5C"/>
    <w:pPr>
      <w:widowControl/>
      <w:suppressAutoHyphens w:val="0"/>
      <w:autoSpaceDE/>
      <w:autoSpaceDN/>
      <w:spacing w:after="220"/>
      <w:textAlignment w:val="auto"/>
    </w:pPr>
    <w:rPr>
      <w:rFonts w:ascii="Arial" w:eastAsia="Times" w:hAnsi="Arial" w:cs="Arial"/>
      <w:sz w:val="22"/>
      <w:lang w:eastAsia="en-US"/>
    </w:rPr>
  </w:style>
  <w:style w:type="paragraph" w:customStyle="1" w:styleId="Default">
    <w:name w:val="Default"/>
    <w:uiPriority w:val="99"/>
    <w:rsid w:val="00BF57BC"/>
    <w:pPr>
      <w:autoSpaceDE w:val="0"/>
      <w:adjustRightInd w:val="0"/>
      <w:spacing w:after="0" w:line="240" w:lineRule="auto"/>
      <w:textAlignment w:val="auto"/>
    </w:pPr>
    <w:rPr>
      <w:rFonts w:ascii="Times New Roman" w:eastAsia="Times"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3374">
      <w:bodyDiv w:val="1"/>
      <w:marLeft w:val="0"/>
      <w:marRight w:val="0"/>
      <w:marTop w:val="0"/>
      <w:marBottom w:val="0"/>
      <w:divBdr>
        <w:top w:val="none" w:sz="0" w:space="0" w:color="auto"/>
        <w:left w:val="none" w:sz="0" w:space="0" w:color="auto"/>
        <w:bottom w:val="none" w:sz="0" w:space="0" w:color="auto"/>
        <w:right w:val="none" w:sz="0" w:space="0" w:color="auto"/>
      </w:divBdr>
    </w:div>
    <w:div w:id="395517441">
      <w:bodyDiv w:val="1"/>
      <w:marLeft w:val="0"/>
      <w:marRight w:val="0"/>
      <w:marTop w:val="0"/>
      <w:marBottom w:val="0"/>
      <w:divBdr>
        <w:top w:val="none" w:sz="0" w:space="0" w:color="auto"/>
        <w:left w:val="none" w:sz="0" w:space="0" w:color="auto"/>
        <w:bottom w:val="none" w:sz="0" w:space="0" w:color="auto"/>
        <w:right w:val="none" w:sz="0" w:space="0" w:color="auto"/>
      </w:divBdr>
    </w:div>
    <w:div w:id="458499927">
      <w:bodyDiv w:val="1"/>
      <w:marLeft w:val="0"/>
      <w:marRight w:val="0"/>
      <w:marTop w:val="0"/>
      <w:marBottom w:val="0"/>
      <w:divBdr>
        <w:top w:val="none" w:sz="0" w:space="0" w:color="auto"/>
        <w:left w:val="none" w:sz="0" w:space="0" w:color="auto"/>
        <w:bottom w:val="none" w:sz="0" w:space="0" w:color="auto"/>
        <w:right w:val="none" w:sz="0" w:space="0" w:color="auto"/>
      </w:divBdr>
    </w:div>
    <w:div w:id="732235709">
      <w:bodyDiv w:val="1"/>
      <w:marLeft w:val="0"/>
      <w:marRight w:val="0"/>
      <w:marTop w:val="0"/>
      <w:marBottom w:val="0"/>
      <w:divBdr>
        <w:top w:val="none" w:sz="0" w:space="0" w:color="auto"/>
        <w:left w:val="none" w:sz="0" w:space="0" w:color="auto"/>
        <w:bottom w:val="none" w:sz="0" w:space="0" w:color="auto"/>
        <w:right w:val="none" w:sz="0" w:space="0" w:color="auto"/>
      </w:divBdr>
    </w:div>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083843904">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07069">
      <w:bodyDiv w:val="1"/>
      <w:marLeft w:val="0"/>
      <w:marRight w:val="0"/>
      <w:marTop w:val="0"/>
      <w:marBottom w:val="0"/>
      <w:divBdr>
        <w:top w:val="none" w:sz="0" w:space="0" w:color="auto"/>
        <w:left w:val="none" w:sz="0" w:space="0" w:color="auto"/>
        <w:bottom w:val="none" w:sz="0" w:space="0" w:color="auto"/>
        <w:right w:val="none" w:sz="0" w:space="0" w:color="auto"/>
      </w:divBdr>
    </w:div>
    <w:div w:id="1580094226">
      <w:bodyDiv w:val="1"/>
      <w:marLeft w:val="0"/>
      <w:marRight w:val="0"/>
      <w:marTop w:val="0"/>
      <w:marBottom w:val="0"/>
      <w:divBdr>
        <w:top w:val="none" w:sz="0" w:space="0" w:color="auto"/>
        <w:left w:val="none" w:sz="0" w:space="0" w:color="auto"/>
        <w:bottom w:val="none" w:sz="0" w:space="0" w:color="auto"/>
        <w:right w:val="none" w:sz="0" w:space="0" w:color="auto"/>
      </w:divBdr>
    </w:div>
    <w:div w:id="1595750641">
      <w:bodyDiv w:val="1"/>
      <w:marLeft w:val="0"/>
      <w:marRight w:val="0"/>
      <w:marTop w:val="0"/>
      <w:marBottom w:val="0"/>
      <w:divBdr>
        <w:top w:val="none" w:sz="0" w:space="0" w:color="auto"/>
        <w:left w:val="none" w:sz="0" w:space="0" w:color="auto"/>
        <w:bottom w:val="none" w:sz="0" w:space="0" w:color="auto"/>
        <w:right w:val="none" w:sz="0" w:space="0" w:color="auto"/>
      </w:divBdr>
    </w:div>
    <w:div w:id="1816407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1C822-F1B0-4641-95EB-6A21AB809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Zilic</dc:creator>
  <cp:lastModifiedBy>Teja</cp:lastModifiedBy>
  <cp:revision>4</cp:revision>
  <cp:lastPrinted>2017-05-08T23:51:00Z</cp:lastPrinted>
  <dcterms:created xsi:type="dcterms:W3CDTF">2017-05-20T11:03:00Z</dcterms:created>
  <dcterms:modified xsi:type="dcterms:W3CDTF">2017-05-20T11:07:00Z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