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0ECA" w:rsidRDefault="00D944B5" w:rsidP="00DA0B26">
      <w:pPr>
        <w:pStyle w:val="BodyText"/>
        <w:overflowPunct w:val="0"/>
        <w:ind w:right="-142"/>
        <w:jc w:val="both"/>
      </w:pPr>
      <w:r>
        <w:rPr>
          <w:noProof/>
        </w:rPr>
        <w:pict>
          <v:shapetype id="_x0000_t202" coordsize="21600,21600" o:spt="202" path="m,l,21600r21600,l21600,xe">
            <v:stroke joinstyle="miter"/>
            <v:path gradientshapeok="t" o:connecttype="rect"/>
          </v:shapetype>
          <v:shape id="Text Box 3" o:spid="_x0000_s1026" type="#_x0000_t202" style="position:absolute;left:0;text-align:left;margin-left:245.2pt;margin-top:66.1pt;width:212.1pt;height:47.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" filled="f" stroked="f">
            <v:textbox>
              <w:txbxContent>
                <w:p w:rsidR="00AD4741" w:rsidRPr="006B0ECA" w:rsidRDefault="00AD4741">
                  <w:pPr>
                    <w:rPr>
                      <w:b/>
                      <w:color w:val="FFFFFF" w:themeColor="background1"/>
                      <w:sz w:val="40"/>
                      <w:szCs w:val="40"/>
                    </w:rPr>
                  </w:pPr>
                  <w:r w:rsidRPr="006B0ECA">
                    <w:rPr>
                      <w:b/>
                      <w:color w:val="FFFFFF" w:themeColor="background1"/>
                      <w:sz w:val="40"/>
                      <w:szCs w:val="40"/>
                    </w:rPr>
                    <w:t>ACT REVENUE OFFICE</w:t>
                  </w:r>
                </w:p>
              </w:txbxContent>
            </v:textbox>
          </v:shape>
        </w:pict>
      </w:r>
      <w:r>
        <w:rPr>
          <w:noProof/>
        </w:rPr>
        <w:pict>
          <v:rect id="Rectangle 8" o:spid="_x0000_s1027" style="position:absolute;left:0;text-align:left;margin-left:188.7pt;margin-top:-124.85pt;width:277.8pt;height: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" filled="f" stroked="f">
            <v:textbox>
              <w:txbxContent>
                <w:p w:rsidR="00AD4741" w:rsidRPr="00D908F9" w:rsidRDefault="00AD4741" w:rsidP="00391CB7">
                  <w:pPr>
                    <w:pStyle w:val="Header"/>
                    <w:tabs>
                      <w:tab w:val="clear" w:pos="4513"/>
                    </w:tabs>
                    <w:jc w:val="both"/>
                    <w:rPr>
                      <w:color w:val="FFFFFF"/>
                      <w:sz w:val="56"/>
                      <w:szCs w:val="56"/>
                    </w:rPr>
                  </w:pPr>
                  <w:r>
                    <w:rPr>
                      <w:color w:val="FFFFFF"/>
                      <w:sz w:val="56"/>
                      <w:szCs w:val="56"/>
                    </w:rPr>
                    <w:t>ACT Revenue Office</w:t>
                  </w:r>
                </w:p>
              </w:txbxContent>
            </v:textbox>
          </v:rect>
        </w:pict>
      </w:r>
      <w:r w:rsidR="00391CB7">
        <w:rPr>
          <w:noProof/>
        </w:rPr>
        <w:drawing>
          <wp:inline distT="0" distB="0" distL="0" distR="0">
            <wp:extent cx="9448201" cy="2184071"/>
            <wp:effectExtent l="19050" t="0" r="599"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stretch>
                      <a:fillRect/>
                    </a:stretch>
                  </pic:blipFill>
                  <pic:spPr bwMode="auto">
                    <a:xfrm>
                      <a:off x="0" y="0"/>
                      <a:ext cx="9460949" cy="2187018"/>
                    </a:xfrm>
                    <a:prstGeom prst="rect">
                      <a:avLst/>
                    </a:prstGeom>
                    <a:noFill/>
                    <a:ln>
                      <a:noFill/>
                    </a:ln>
                  </pic:spPr>
                </pic:pic>
              </a:graphicData>
            </a:graphic>
          </wp:inline>
        </w:drawing>
      </w:r>
    </w:p>
    <w:p w:rsidR="006B0ECA" w:rsidRPr="00CD6913" w:rsidRDefault="006B0ECA" w:rsidP="00AD4741">
      <w:pPr>
        <w:ind w:left="1134"/>
        <w:jc w:val="both"/>
        <w:rPr>
          <w:rFonts w:asciiTheme="minorHAnsi" w:hAnsiTheme="minorHAnsi"/>
        </w:rPr>
      </w:pPr>
    </w:p>
    <w:tbl>
      <w:tblPr>
        <w:tblW w:w="4330" w:type="pct"/>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bottom w:w="113" w:type="dxa"/>
        </w:tblCellMar>
        <w:tblLook w:val="0000"/>
      </w:tblPr>
      <w:tblGrid>
        <w:gridCol w:w="9516"/>
      </w:tblGrid>
      <w:tr w:rsidR="00F44A8D" w:rsidRPr="00404085" w:rsidTr="00BB7D19">
        <w:trPr>
          <w:cantSplit/>
        </w:trPr>
        <w:tc>
          <w:tcPr>
            <w:tcW w:w="9639" w:type="dxa"/>
            <w:tcBorders>
              <w:top w:val="single" w:sz="4" w:space="0" w:color="0D0D0D"/>
              <w:left w:val="single" w:sz="4" w:space="0" w:color="0D0D0D"/>
              <w:bottom w:val="single" w:sz="4" w:space="0" w:color="0D0D0D"/>
              <w:right w:val="single" w:sz="4" w:space="0" w:color="0D0D0D"/>
            </w:tcBorders>
            <w:shd w:val="clear" w:color="auto" w:fill="D9D9D9"/>
          </w:tcPr>
          <w:p w:rsidR="00F44A8D" w:rsidRPr="00705A5A" w:rsidRDefault="00F44A8D" w:rsidP="00AD4741">
            <w:pPr>
              <w:jc w:val="both"/>
              <w:rPr>
                <w:b/>
                <w:lang w:eastAsia="en-US"/>
              </w:rPr>
            </w:pPr>
            <w:r>
              <w:rPr>
                <w:b/>
                <w:lang w:eastAsia="en-US"/>
              </w:rPr>
              <w:t>REVENUE CIRCULAR PTA</w:t>
            </w:r>
            <w:r w:rsidR="001D5A14">
              <w:rPr>
                <w:b/>
                <w:lang w:eastAsia="en-US"/>
              </w:rPr>
              <w:t>022</w:t>
            </w:r>
          </w:p>
        </w:tc>
      </w:tr>
      <w:tr w:rsidR="00F44A8D" w:rsidRPr="00404085" w:rsidTr="00BB7D19">
        <w:trPr>
          <w:cantSplit/>
        </w:trPr>
        <w:tc>
          <w:tcPr>
            <w:tcW w:w="9639" w:type="dxa"/>
            <w:tcBorders>
              <w:top w:val="single" w:sz="4" w:space="0" w:color="0D0D0D"/>
              <w:left w:val="single" w:sz="4" w:space="0" w:color="0D0D0D"/>
              <w:bottom w:val="single" w:sz="4" w:space="0" w:color="0D0D0D"/>
              <w:right w:val="single" w:sz="4" w:space="0" w:color="0D0D0D"/>
            </w:tcBorders>
            <w:shd w:val="clear" w:color="auto" w:fill="auto"/>
          </w:tcPr>
          <w:p w:rsidR="00F44A8D" w:rsidRPr="00404085" w:rsidRDefault="001D5A14" w:rsidP="00AD4741">
            <w:pPr>
              <w:jc w:val="both"/>
              <w:rPr>
                <w:lang w:eastAsia="en-US"/>
              </w:rPr>
            </w:pPr>
            <w:r>
              <w:rPr>
                <w:lang w:eastAsia="en-US"/>
              </w:rPr>
              <w:t>Contractors: Services Not Ordinarily Required</w:t>
            </w:r>
            <w:r w:rsidR="00F44A8D">
              <w:rPr>
                <w:lang w:eastAsia="en-US"/>
              </w:rPr>
              <w:t xml:space="preserve"> – </w:t>
            </w:r>
            <w:r w:rsidR="00F44A8D" w:rsidRPr="00F44A8D">
              <w:rPr>
                <w:i/>
                <w:lang w:eastAsia="en-US"/>
              </w:rPr>
              <w:t>Payroll Tax Act 2011</w:t>
            </w:r>
          </w:p>
        </w:tc>
      </w:tr>
      <w:tr w:rsidR="00F44A8D" w:rsidRPr="00404085" w:rsidTr="00BB7D19">
        <w:trPr>
          <w:cantSplit/>
        </w:trPr>
        <w:tc>
          <w:tcPr>
            <w:tcW w:w="9639" w:type="dxa"/>
            <w:tcBorders>
              <w:top w:val="single" w:sz="4" w:space="0" w:color="0D0D0D"/>
              <w:left w:val="single" w:sz="4" w:space="0" w:color="0D0D0D"/>
              <w:bottom w:val="single" w:sz="4" w:space="0" w:color="0D0D0D"/>
              <w:right w:val="single" w:sz="4" w:space="0" w:color="0D0D0D"/>
            </w:tcBorders>
            <w:shd w:val="clear" w:color="auto" w:fill="auto"/>
          </w:tcPr>
          <w:p w:rsidR="00F44A8D" w:rsidRPr="00404085" w:rsidRDefault="00F44A8D" w:rsidP="001D5A14">
            <w:pPr>
              <w:jc w:val="both"/>
              <w:rPr>
                <w:lang w:eastAsia="en-US"/>
              </w:rPr>
            </w:pPr>
            <w:r>
              <w:rPr>
                <w:lang w:eastAsia="en-US"/>
              </w:rPr>
              <w:t xml:space="preserve">Issue Date: </w:t>
            </w:r>
            <w:r w:rsidR="001D5A14">
              <w:rPr>
                <w:lang w:eastAsia="en-US"/>
              </w:rPr>
              <w:t>30 June 2011</w:t>
            </w:r>
          </w:p>
        </w:tc>
      </w:tr>
      <w:tr w:rsidR="00F44A8D" w:rsidRPr="00404085" w:rsidTr="00BB7D19">
        <w:trPr>
          <w:cantSplit/>
        </w:trPr>
        <w:tc>
          <w:tcPr>
            <w:tcW w:w="9639" w:type="dxa"/>
            <w:tcBorders>
              <w:top w:val="single" w:sz="4" w:space="0" w:color="0D0D0D"/>
              <w:left w:val="single" w:sz="4" w:space="0" w:color="0D0D0D"/>
              <w:bottom w:val="single" w:sz="4" w:space="0" w:color="0D0D0D"/>
              <w:right w:val="single" w:sz="4" w:space="0" w:color="0D0D0D"/>
            </w:tcBorders>
            <w:shd w:val="clear" w:color="auto" w:fill="auto"/>
          </w:tcPr>
          <w:p w:rsidR="00F44A8D" w:rsidRPr="00404085" w:rsidRDefault="00F44A8D" w:rsidP="00AD4741">
            <w:pPr>
              <w:jc w:val="both"/>
            </w:pPr>
            <w:r>
              <w:t>Status: Current</w:t>
            </w:r>
            <w:r w:rsidR="00BB7D19">
              <w:t xml:space="preserve"> – Effective 1 July 201</w:t>
            </w:r>
            <w:r w:rsidR="001D5A14">
              <w:t>1</w:t>
            </w:r>
          </w:p>
        </w:tc>
      </w:tr>
      <w:tr w:rsidR="00310E54" w:rsidRPr="00404085" w:rsidTr="00BB7D19">
        <w:trPr>
          <w:cantSplit/>
        </w:trPr>
        <w:tc>
          <w:tcPr>
            <w:tcW w:w="9639" w:type="dxa"/>
            <w:tcBorders>
              <w:top w:val="single" w:sz="4" w:space="0" w:color="0D0D0D"/>
              <w:left w:val="single" w:sz="4" w:space="0" w:color="0D0D0D"/>
              <w:bottom w:val="single" w:sz="4" w:space="0" w:color="0D0D0D"/>
              <w:right w:val="single" w:sz="4" w:space="0" w:color="0D0D0D"/>
            </w:tcBorders>
            <w:shd w:val="clear" w:color="auto" w:fill="auto"/>
          </w:tcPr>
          <w:p w:rsidR="00310E54" w:rsidRDefault="00310E54" w:rsidP="001D5A14">
            <w:pPr>
              <w:jc w:val="both"/>
            </w:pPr>
            <w:r>
              <w:t>Previous Circular: PT</w:t>
            </w:r>
            <w:r w:rsidR="001D5A14">
              <w:t>X022</w:t>
            </w:r>
          </w:p>
        </w:tc>
      </w:tr>
    </w:tbl>
    <w:p w:rsidR="00F44A8D" w:rsidRPr="00AD4741" w:rsidRDefault="00BB7D19" w:rsidP="00BB7D19">
      <w:pPr>
        <w:pStyle w:val="Heading1"/>
        <w:spacing w:before="120" w:after="120" w:line="240" w:lineRule="auto"/>
        <w:ind w:left="1701" w:hanging="567"/>
        <w:jc w:val="both"/>
      </w:pPr>
      <w:r>
        <w:t>Preamble</w:t>
      </w:r>
    </w:p>
    <w:p w:rsidR="001D5A14" w:rsidRDefault="001D5A14" w:rsidP="001D5A14">
      <w:pPr>
        <w:adjustRightInd w:val="0"/>
        <w:spacing w:before="120" w:after="120"/>
        <w:ind w:left="1134"/>
        <w:jc w:val="both"/>
        <w:rPr>
          <w:rFonts w:cs="Arial"/>
        </w:rPr>
      </w:pPr>
      <w:r w:rsidRPr="0066664F">
        <w:rPr>
          <w:rFonts w:cs="Arial"/>
        </w:rPr>
        <w:t xml:space="preserve">The </w:t>
      </w:r>
      <w:r w:rsidRPr="0066664F">
        <w:rPr>
          <w:rFonts w:cs="Arial"/>
          <w:i/>
        </w:rPr>
        <w:t>Payroll Tax Act 2011</w:t>
      </w:r>
      <w:r w:rsidRPr="0066664F">
        <w:rPr>
          <w:rFonts w:cs="Arial"/>
        </w:rPr>
        <w:t xml:space="preserve"> (the Act), which </w:t>
      </w:r>
      <w:r w:rsidRPr="00844E24">
        <w:rPr>
          <w:rFonts w:cs="Arial"/>
        </w:rPr>
        <w:t>commenced on 1 July 2011</w:t>
      </w:r>
      <w:r w:rsidRPr="0066664F">
        <w:rPr>
          <w:rFonts w:cs="Arial"/>
        </w:rPr>
        <w:t xml:space="preserve">, rewrites the </w:t>
      </w:r>
      <w:r w:rsidRPr="000715D3">
        <w:rPr>
          <w:rFonts w:cs="Arial"/>
          <w:i/>
        </w:rPr>
        <w:t>Payroll Tax Act 1987</w:t>
      </w:r>
      <w:r w:rsidRPr="0066664F">
        <w:rPr>
          <w:rFonts w:cs="Arial"/>
        </w:rPr>
        <w:t xml:space="preserve"> (the 1987 Act) and harmonises the payroll tax legislation </w:t>
      </w:r>
      <w:r>
        <w:rPr>
          <w:rFonts w:cs="Arial"/>
        </w:rPr>
        <w:t>in the Australian jurisdictions.</w:t>
      </w:r>
    </w:p>
    <w:p w:rsidR="001D5A14" w:rsidRPr="00EA33DD" w:rsidRDefault="001D5A14" w:rsidP="001D5A14">
      <w:pPr>
        <w:tabs>
          <w:tab w:val="left" w:pos="1701"/>
        </w:tabs>
        <w:adjustRightInd w:val="0"/>
        <w:spacing w:before="120" w:after="120"/>
        <w:ind w:left="1701" w:hanging="425"/>
        <w:jc w:val="both"/>
        <w:rPr>
          <w:color w:val="000000"/>
        </w:rPr>
      </w:pPr>
      <w:r w:rsidRPr="00EA33DD">
        <w:rPr>
          <w:color w:val="000000"/>
        </w:rPr>
        <w:t>1.</w:t>
      </w:r>
      <w:r w:rsidRPr="00EA33DD">
        <w:rPr>
          <w:color w:val="000000"/>
        </w:rPr>
        <w:tab/>
        <w:t xml:space="preserve">Parties to a ‘relevant contract’ are deemed to be employers and employees (section 33 and 34 of the Act) and payments made under a contract are deemed to be wages (section 35 of the Act).  Deemed wages are subject to payroll tax under section 36 of the Act. </w:t>
      </w:r>
    </w:p>
    <w:p w:rsidR="001D5A14" w:rsidRPr="00EA33DD" w:rsidRDefault="001D5A14" w:rsidP="001D5A14">
      <w:pPr>
        <w:pStyle w:val="PlainText"/>
        <w:tabs>
          <w:tab w:val="left" w:pos="1701"/>
        </w:tabs>
        <w:spacing w:before="120" w:after="120"/>
        <w:ind w:left="1701" w:hanging="425"/>
        <w:jc w:val="both"/>
        <w:rPr>
          <w:rFonts w:ascii="Calibri" w:hAnsi="Calibri" w:cs="Calibri"/>
          <w:color w:val="000000"/>
        </w:rPr>
      </w:pPr>
      <w:r w:rsidRPr="00EA33DD">
        <w:rPr>
          <w:rFonts w:ascii="Calibri" w:hAnsi="Calibri" w:cs="Calibri"/>
          <w:color w:val="000000"/>
        </w:rPr>
        <w:t>2.</w:t>
      </w:r>
      <w:r w:rsidRPr="00EA33DD">
        <w:rPr>
          <w:rFonts w:ascii="Calibri" w:hAnsi="Calibri" w:cs="Calibri"/>
          <w:color w:val="000000"/>
        </w:rPr>
        <w:tab/>
        <w:t xml:space="preserve">While most contracts for the provision of services come within the meaning of ‘relevant contract’ under section 32 of the Act, certain types of contracts are specifically excluded from the definition of ‘relevant contract’.  </w:t>
      </w:r>
      <w:r w:rsidRPr="00EA33DD">
        <w:rPr>
          <w:rFonts w:ascii="Calibri" w:hAnsi="Calibri" w:cs="Calibri"/>
        </w:rPr>
        <w:t xml:space="preserve">A contract is not a ‘relevant contract’ if the Commissioner for ACT Revenue (the Commissioner) is satisfied that the services under the contract are services </w:t>
      </w:r>
      <w:r w:rsidRPr="00EA33DD">
        <w:rPr>
          <w:rFonts w:ascii="Calibri" w:hAnsi="Calibri" w:cs="Calibri"/>
          <w:color w:val="000000"/>
        </w:rPr>
        <w:t>not ordinarily required by the principal</w:t>
      </w:r>
      <w:r w:rsidRPr="00EA33DD">
        <w:rPr>
          <w:rFonts w:ascii="Calibri" w:hAnsi="Calibri" w:cs="Calibri"/>
        </w:rPr>
        <w:t xml:space="preserve"> and the person who provides the services ordinarily renders services of that kind to the general public in that financial year.  </w:t>
      </w:r>
    </w:p>
    <w:p w:rsidR="001D5A14" w:rsidRPr="00EA33DD" w:rsidRDefault="001D5A14" w:rsidP="001D5A14">
      <w:pPr>
        <w:tabs>
          <w:tab w:val="left" w:pos="1701"/>
        </w:tabs>
        <w:adjustRightInd w:val="0"/>
        <w:spacing w:before="120"/>
        <w:ind w:left="1701" w:hanging="425"/>
        <w:jc w:val="both"/>
      </w:pPr>
      <w:r w:rsidRPr="00EA33DD">
        <w:t>3.</w:t>
      </w:r>
      <w:r w:rsidRPr="00EA33DD">
        <w:tab/>
        <w:t>This circular provides the criteria that the Commissioner takes into consideration in exercising his or her discretion under section 32(2</w:t>
      </w:r>
      <w:proofErr w:type="gramStart"/>
      <w:r w:rsidRPr="00EA33DD">
        <w:t>)(</w:t>
      </w:r>
      <w:proofErr w:type="gramEnd"/>
      <w:r w:rsidRPr="00EA33DD">
        <w:t>b)(</w:t>
      </w:r>
      <w:proofErr w:type="spellStart"/>
      <w:r w:rsidRPr="00EA33DD">
        <w:t>i</w:t>
      </w:r>
      <w:proofErr w:type="spellEnd"/>
      <w:r w:rsidRPr="00EA33DD">
        <w:t xml:space="preserve">) of the Act to exempt payments made under such contracts from payroll tax. </w:t>
      </w:r>
    </w:p>
    <w:p w:rsidR="00F44A8D" w:rsidRPr="00AD4741" w:rsidRDefault="00F44A8D" w:rsidP="001D5A14">
      <w:pPr>
        <w:pStyle w:val="Heading1"/>
        <w:spacing w:before="60" w:after="60" w:line="240" w:lineRule="auto"/>
        <w:ind w:left="1134" w:firstLine="0"/>
        <w:jc w:val="both"/>
        <w:rPr>
          <w:rFonts w:asciiTheme="minorHAnsi" w:hAnsiTheme="minorHAnsi"/>
        </w:rPr>
      </w:pPr>
      <w:r w:rsidRPr="00AD4741">
        <w:rPr>
          <w:rFonts w:asciiTheme="minorHAnsi" w:hAnsiTheme="minorHAnsi"/>
        </w:rPr>
        <w:t>Circular</w:t>
      </w:r>
    </w:p>
    <w:p w:rsidR="001D5A14" w:rsidRPr="001D5A14" w:rsidRDefault="001D5A14" w:rsidP="001D5A14">
      <w:pPr>
        <w:pStyle w:val="ListParagraph"/>
        <w:ind w:left="1134" w:firstLine="0"/>
        <w:outlineLvl w:val="1"/>
        <w:rPr>
          <w:b/>
        </w:rPr>
      </w:pPr>
      <w:r w:rsidRPr="001D5A14">
        <w:rPr>
          <w:b/>
        </w:rPr>
        <w:t>Contractors – Services Not Ordinarily Required</w:t>
      </w:r>
    </w:p>
    <w:p w:rsidR="001D5A14" w:rsidRPr="00EA33DD" w:rsidRDefault="001D5A14" w:rsidP="001D5A14">
      <w:pPr>
        <w:pStyle w:val="PlainText"/>
        <w:spacing w:before="120" w:after="120"/>
        <w:ind w:left="1701" w:hanging="425"/>
        <w:jc w:val="both"/>
        <w:rPr>
          <w:rFonts w:ascii="Calibri" w:hAnsi="Calibri" w:cs="Calibri"/>
          <w:color w:val="000000"/>
        </w:rPr>
      </w:pPr>
      <w:r w:rsidRPr="00EA33DD">
        <w:rPr>
          <w:rFonts w:ascii="Calibri" w:hAnsi="Calibri" w:cs="Calibri"/>
          <w:color w:val="000000"/>
        </w:rPr>
        <w:t>4.</w:t>
      </w:r>
      <w:r w:rsidRPr="00EA33DD">
        <w:rPr>
          <w:rFonts w:ascii="Calibri" w:hAnsi="Calibri" w:cs="Calibri"/>
          <w:color w:val="000000"/>
        </w:rPr>
        <w:tab/>
        <w:t xml:space="preserve">From time to time, businesses may require services that are not associated with their mainstream business activities.  As these services are required so infrequently, it would be more practical for businesses to engage contractors instead of permanent staff to perform these services when the need arises.  </w:t>
      </w:r>
    </w:p>
    <w:p w:rsidR="001D5A14" w:rsidRDefault="001D5A14" w:rsidP="001D5A14">
      <w:pPr>
        <w:pStyle w:val="PlainText"/>
        <w:spacing w:before="120" w:after="120"/>
        <w:ind w:left="1701" w:hanging="425"/>
        <w:jc w:val="both"/>
        <w:rPr>
          <w:rFonts w:ascii="Calibri" w:hAnsi="Calibri"/>
        </w:rPr>
      </w:pPr>
      <w:r w:rsidRPr="00943CFE">
        <w:rPr>
          <w:rFonts w:ascii="Calibri" w:hAnsi="Calibri"/>
        </w:rPr>
        <w:t>5.</w:t>
      </w:r>
      <w:r w:rsidRPr="00943CFE">
        <w:rPr>
          <w:rFonts w:ascii="Calibri" w:hAnsi="Calibri"/>
        </w:rPr>
        <w:tab/>
        <w:t>In exercising the discretion under section 32(2</w:t>
      </w:r>
      <w:proofErr w:type="gramStart"/>
      <w:r w:rsidRPr="00943CFE">
        <w:rPr>
          <w:rFonts w:ascii="Calibri" w:hAnsi="Calibri"/>
        </w:rPr>
        <w:t>)(</w:t>
      </w:r>
      <w:proofErr w:type="gramEnd"/>
      <w:r w:rsidRPr="00943CFE">
        <w:rPr>
          <w:rFonts w:ascii="Calibri" w:hAnsi="Calibri"/>
        </w:rPr>
        <w:t>b)(</w:t>
      </w:r>
      <w:proofErr w:type="spellStart"/>
      <w:r w:rsidRPr="00943CFE">
        <w:rPr>
          <w:rFonts w:ascii="Calibri" w:hAnsi="Calibri"/>
        </w:rPr>
        <w:t>i</w:t>
      </w:r>
      <w:proofErr w:type="spellEnd"/>
      <w:r w:rsidRPr="00943CFE">
        <w:rPr>
          <w:rFonts w:ascii="Calibri" w:hAnsi="Calibri"/>
        </w:rPr>
        <w:t>) of the Act to exempt payments made under the above contracts from payroll tax, the Commissioner needs to be satisfied that the following criteria apply:</w:t>
      </w:r>
    </w:p>
    <w:p w:rsidR="00F44A8D" w:rsidRDefault="00F44A8D" w:rsidP="00AD4741">
      <w:pPr>
        <w:pStyle w:val="Heading2"/>
        <w:ind w:left="1701"/>
        <w:jc w:val="both"/>
      </w:pPr>
    </w:p>
    <w:p w:rsidR="00F44A8D" w:rsidRDefault="00F44A8D" w:rsidP="00AD4741">
      <w:pPr>
        <w:pStyle w:val="Heading2"/>
        <w:ind w:left="1701"/>
        <w:jc w:val="both"/>
        <w:sectPr w:rsidR="00F44A8D" w:rsidSect="00C24521">
          <w:headerReference w:type="default" r:id="rId9"/>
          <w:footerReference w:type="default" r:id="rId10"/>
          <w:footerReference w:type="first" r:id="rId11"/>
          <w:pgSz w:w="11910" w:h="16840" w:code="9"/>
          <w:pgMar w:top="-9" w:right="1137" w:bottom="1100" w:left="0" w:header="0" w:footer="318" w:gutter="0"/>
          <w:cols w:space="720"/>
          <w:titlePg/>
          <w:docGrid w:linePitch="326"/>
        </w:sectPr>
      </w:pPr>
    </w:p>
    <w:p w:rsidR="001D5A14" w:rsidRPr="00943CFE" w:rsidRDefault="001D5A14" w:rsidP="001D5A14">
      <w:pPr>
        <w:pStyle w:val="PlainText"/>
        <w:spacing w:before="120" w:after="120"/>
        <w:ind w:left="2268" w:hanging="708"/>
        <w:jc w:val="both"/>
        <w:rPr>
          <w:rFonts w:ascii="Calibri" w:hAnsi="Calibri"/>
        </w:rPr>
      </w:pPr>
      <w:r>
        <w:rPr>
          <w:rFonts w:ascii="Calibri" w:hAnsi="Calibri"/>
        </w:rPr>
        <w:lastRenderedPageBreak/>
        <w:t>(a)</w:t>
      </w:r>
      <w:r>
        <w:rPr>
          <w:rFonts w:ascii="Calibri" w:hAnsi="Calibri"/>
        </w:rPr>
        <w:tab/>
      </w:r>
      <w:proofErr w:type="gramStart"/>
      <w:r w:rsidRPr="00943CFE">
        <w:rPr>
          <w:rFonts w:ascii="Calibri" w:hAnsi="Calibri"/>
        </w:rPr>
        <w:t>the</w:t>
      </w:r>
      <w:proofErr w:type="gramEnd"/>
      <w:r w:rsidRPr="00943CFE">
        <w:rPr>
          <w:rFonts w:ascii="Calibri" w:hAnsi="Calibri"/>
        </w:rPr>
        <w:t xml:space="preserve"> services provided by the contractor must not ordinarily be required by the principal (e.g.  </w:t>
      </w:r>
      <w:proofErr w:type="gramStart"/>
      <w:r w:rsidRPr="00943CFE">
        <w:rPr>
          <w:rFonts w:ascii="Calibri" w:hAnsi="Calibri"/>
        </w:rPr>
        <w:t>services</w:t>
      </w:r>
      <w:proofErr w:type="gramEnd"/>
      <w:r w:rsidRPr="00943CFE">
        <w:rPr>
          <w:rFonts w:ascii="Calibri" w:hAnsi="Calibri"/>
        </w:rPr>
        <w:t xml:space="preserve"> provided by painters and decorators engaged by a bank to paint and decorate its office);  and </w:t>
      </w:r>
    </w:p>
    <w:p w:rsidR="001D5A14" w:rsidRPr="00EA33DD" w:rsidRDefault="001D5A14" w:rsidP="001D5A14">
      <w:pPr>
        <w:adjustRightInd w:val="0"/>
        <w:spacing w:before="120" w:after="120"/>
        <w:ind w:left="2268" w:hanging="708"/>
        <w:jc w:val="both"/>
      </w:pPr>
      <w:r w:rsidRPr="00EA33DD">
        <w:t>(b)</w:t>
      </w:r>
      <w:r w:rsidRPr="00EA33DD">
        <w:tab/>
      </w:r>
      <w:proofErr w:type="gramStart"/>
      <w:r w:rsidRPr="00EA33DD">
        <w:t>the</w:t>
      </w:r>
      <w:proofErr w:type="gramEnd"/>
      <w:r w:rsidRPr="00EA33DD">
        <w:t xml:space="preserve"> contractor must ordinarily render the services in question to the public generally.</w:t>
      </w:r>
    </w:p>
    <w:p w:rsidR="001D5A14" w:rsidRPr="00EA33DD" w:rsidRDefault="001D5A14" w:rsidP="001D5A14">
      <w:pPr>
        <w:pStyle w:val="PlainText"/>
        <w:spacing w:before="120" w:after="120"/>
        <w:ind w:left="1418" w:hanging="425"/>
        <w:jc w:val="both"/>
        <w:rPr>
          <w:rFonts w:ascii="Calibri" w:hAnsi="Calibri" w:cs="Calibri"/>
        </w:rPr>
      </w:pPr>
      <w:r w:rsidRPr="00EA33DD">
        <w:rPr>
          <w:rFonts w:ascii="Calibri" w:hAnsi="Calibri" w:cs="Calibri"/>
        </w:rPr>
        <w:t>6.</w:t>
      </w:r>
      <w:r w:rsidRPr="00EA33DD">
        <w:rPr>
          <w:rFonts w:ascii="Calibri" w:hAnsi="Calibri" w:cs="Calibri"/>
        </w:rPr>
        <w:tab/>
        <w:t xml:space="preserve">To satisfy the second criterion, the contractor would need to have derived less than 40 per cent of gross trading income from the principal during the relevant financial year.  </w:t>
      </w:r>
    </w:p>
    <w:p w:rsidR="001D5A14" w:rsidRPr="00EA33DD" w:rsidRDefault="001D5A14" w:rsidP="001D5A14">
      <w:pPr>
        <w:pStyle w:val="PlainText"/>
        <w:spacing w:before="120" w:after="120"/>
        <w:ind w:left="1418" w:hanging="425"/>
        <w:jc w:val="both"/>
        <w:rPr>
          <w:rFonts w:ascii="Calibri" w:hAnsi="Calibri" w:cs="Calibri"/>
          <w:color w:val="000000"/>
        </w:rPr>
      </w:pPr>
      <w:r w:rsidRPr="00EA33DD">
        <w:rPr>
          <w:rFonts w:ascii="Calibri" w:hAnsi="Calibri" w:cs="Calibri"/>
          <w:color w:val="000000"/>
        </w:rPr>
        <w:t>7.</w:t>
      </w:r>
      <w:r w:rsidRPr="00EA33DD">
        <w:rPr>
          <w:rFonts w:ascii="Calibri" w:hAnsi="Calibri" w:cs="Calibri"/>
          <w:color w:val="000000"/>
        </w:rPr>
        <w:tab/>
        <w:t xml:space="preserve">For the purposes of this circular, gross trading income is the gross income earned by the contractor in the conduct of the contractor’s business excluding any investment income or wages.  </w:t>
      </w:r>
    </w:p>
    <w:p w:rsidR="001D5A14" w:rsidRPr="00EA33DD" w:rsidRDefault="001D5A14" w:rsidP="001D5A14">
      <w:pPr>
        <w:pStyle w:val="PlainText"/>
        <w:spacing w:before="120" w:after="120"/>
        <w:ind w:left="1418" w:hanging="425"/>
        <w:jc w:val="both"/>
        <w:rPr>
          <w:rFonts w:ascii="Calibri" w:hAnsi="Calibri" w:cs="Calibri"/>
        </w:rPr>
      </w:pPr>
      <w:r w:rsidRPr="00EA33DD">
        <w:rPr>
          <w:rFonts w:ascii="Calibri" w:hAnsi="Calibri" w:cs="Calibri"/>
        </w:rPr>
        <w:t>8.</w:t>
      </w:r>
      <w:r w:rsidRPr="00EA33DD">
        <w:rPr>
          <w:rFonts w:ascii="Calibri" w:hAnsi="Calibri" w:cs="Calibri"/>
        </w:rPr>
        <w:tab/>
        <w:t xml:space="preserve">A principal who does not satisfy the above criteria but who believes that it is entitled to this exemption may apply to the Commissioner for a determination.  </w:t>
      </w:r>
    </w:p>
    <w:p w:rsidR="00310E54" w:rsidRDefault="00310E54" w:rsidP="00C24521">
      <w:pPr>
        <w:adjustRightInd w:val="0"/>
        <w:ind w:left="1701" w:hanging="576"/>
        <w:jc w:val="both"/>
        <w:rPr>
          <w:rFonts w:cs="Arial"/>
          <w:bCs/>
        </w:rPr>
      </w:pPr>
    </w:p>
    <w:p w:rsidR="00F44A8D" w:rsidRDefault="00F44A8D" w:rsidP="00AD4741">
      <w:pPr>
        <w:adjustRightInd w:val="0"/>
        <w:ind w:left="1701" w:hanging="576"/>
        <w:jc w:val="both"/>
        <w:rPr>
          <w:rFonts w:cs="Arial"/>
          <w:bCs/>
        </w:rPr>
      </w:pPr>
      <w:r>
        <w:rPr>
          <w:rFonts w:cs="Arial"/>
          <w:bCs/>
        </w:rPr>
        <w:t>SIGNED</w:t>
      </w:r>
    </w:p>
    <w:p w:rsidR="00F44A8D" w:rsidRPr="00564BD6" w:rsidRDefault="00F44A8D" w:rsidP="00AD4741">
      <w:pPr>
        <w:adjustRightInd w:val="0"/>
        <w:ind w:left="1701" w:hanging="576"/>
        <w:jc w:val="both"/>
        <w:rPr>
          <w:rFonts w:cs="Arial"/>
          <w:bCs/>
        </w:rPr>
      </w:pPr>
    </w:p>
    <w:p w:rsidR="00F44A8D" w:rsidRPr="00564BD6" w:rsidRDefault="001D5A14" w:rsidP="00AD4741">
      <w:pPr>
        <w:adjustRightInd w:val="0"/>
        <w:ind w:left="1701" w:hanging="576"/>
        <w:jc w:val="both"/>
        <w:rPr>
          <w:rFonts w:cs="Arial"/>
          <w:bCs/>
        </w:rPr>
      </w:pPr>
      <w:r>
        <w:rPr>
          <w:rFonts w:cs="Arial"/>
          <w:bCs/>
        </w:rPr>
        <w:t>David Read</w:t>
      </w:r>
    </w:p>
    <w:p w:rsidR="00F44A8D" w:rsidRPr="00564BD6" w:rsidRDefault="00F44A8D" w:rsidP="00AD4741">
      <w:pPr>
        <w:adjustRightInd w:val="0"/>
        <w:ind w:left="1701" w:hanging="576"/>
        <w:jc w:val="both"/>
        <w:rPr>
          <w:rFonts w:cs="Arial"/>
        </w:rPr>
      </w:pPr>
      <w:r w:rsidRPr="00564BD6">
        <w:rPr>
          <w:rFonts w:cs="Arial"/>
        </w:rPr>
        <w:t>Commissioner for ACT Revenue</w:t>
      </w:r>
    </w:p>
    <w:p w:rsidR="00F44A8D" w:rsidRPr="00310E54" w:rsidRDefault="001D5A14" w:rsidP="00310E54">
      <w:pPr>
        <w:adjustRightInd w:val="0"/>
        <w:ind w:left="1701" w:hanging="576"/>
        <w:jc w:val="both"/>
        <w:rPr>
          <w:rFonts w:cs="Arial"/>
          <w:bCs/>
        </w:rPr>
      </w:pPr>
      <w:r>
        <w:rPr>
          <w:rFonts w:cs="Arial"/>
          <w:bCs/>
        </w:rPr>
        <w:t>30 June 2011</w:t>
      </w:r>
    </w:p>
    <w:sectPr w:rsidR="00F44A8D" w:rsidRPr="00310E54" w:rsidSect="001D5A14">
      <w:pgSz w:w="11910" w:h="16840" w:code="9"/>
      <w:pgMar w:top="1100" w:right="1137" w:bottom="1100" w:left="238" w:header="0" w:footer="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4741" w:rsidRDefault="00AD4741" w:rsidP="005B0828">
      <w:r>
        <w:separator/>
      </w:r>
    </w:p>
  </w:endnote>
  <w:endnote w:type="continuationSeparator" w:id="0">
    <w:p w:rsidR="00AD4741" w:rsidRDefault="00AD4741" w:rsidP="005B0828">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altName w:val="Times New Roman"/>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4741" w:rsidRDefault="00AD4741">
    <w:pPr>
      <w:pStyle w:val="BodyText"/>
      <w:overflowPunct w:val="0"/>
      <w:spacing w:line="12" w:lineRule="auto"/>
      <w:rPr>
        <w:rFonts w:ascii="Times New Roman" w:hAnsi="Times New Roman" w:cs="Times New Roman"/>
        <w:sz w:val="20"/>
        <w:szCs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4741" w:rsidRPr="00F44A8D" w:rsidRDefault="00AD4741" w:rsidP="00F44A8D">
    <w:pPr>
      <w:jc w:val="center"/>
    </w:pPr>
    <w:r w:rsidRPr="00BA070A">
      <w:rPr>
        <w:b/>
        <w:sz w:val="18"/>
        <w:szCs w:val="18"/>
        <w:lang w:val="it-IT"/>
      </w:rPr>
      <w:t xml:space="preserve">PO Box 293, Civic Square ACT 2608  |  phone: 6207 0028  |  </w:t>
    </w:r>
    <w:hyperlink r:id="rId1" w:history="1">
      <w:r w:rsidRPr="00BA070A">
        <w:rPr>
          <w:rStyle w:val="Hyperlink"/>
          <w:b/>
          <w:sz w:val="18"/>
          <w:szCs w:val="18"/>
          <w:lang w:val="it-IT"/>
        </w:rPr>
        <w:t>www.revenue.act.gov.au</w:t>
      </w:r>
    </w:hyperlink>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4741" w:rsidRDefault="00AD4741" w:rsidP="005B0828">
      <w:r w:rsidRPr="005B0828">
        <w:rPr>
          <w:color w:val="000000"/>
        </w:rPr>
        <w:separator/>
      </w:r>
    </w:p>
  </w:footnote>
  <w:footnote w:type="continuationSeparator" w:id="0">
    <w:p w:rsidR="00AD4741" w:rsidRDefault="00AD4741" w:rsidP="005B082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4741" w:rsidRDefault="00AD4741" w:rsidP="00822F9C">
    <w:pPr>
      <w:pStyle w:val="Header"/>
      <w:tabs>
        <w:tab w:val="clear" w:pos="4513"/>
        <w:tab w:val="clear" w:pos="9026"/>
      </w:tabs>
      <w:ind w:left="-70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073F2B"/>
    <w:multiLevelType w:val="hybridMultilevel"/>
    <w:tmpl w:val="F4B692FC"/>
    <w:lvl w:ilvl="0" w:tplc="85B0232A">
      <w:start w:val="1"/>
      <w:numFmt w:val="decimal"/>
      <w:lvlText w:val="%1."/>
      <w:lvlJc w:val="left"/>
      <w:pPr>
        <w:ind w:left="7874" w:hanging="360"/>
      </w:pPr>
      <w:rPr>
        <w:rFonts w:cs="Times New Roman"/>
        <w:b w:val="0"/>
        <w:i w:val="0"/>
      </w:rPr>
    </w:lvl>
    <w:lvl w:ilvl="1" w:tplc="4B348924">
      <w:start w:val="1"/>
      <w:numFmt w:val="lowerLetter"/>
      <w:lvlText w:val="%2."/>
      <w:lvlJc w:val="left"/>
      <w:pPr>
        <w:ind w:left="1440" w:hanging="360"/>
      </w:pPr>
      <w:rPr>
        <w:rFonts w:cs="Times New Roman"/>
        <w:b w:val="0"/>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1">
    <w:nsid w:val="453845B3"/>
    <w:multiLevelType w:val="hybridMultilevel"/>
    <w:tmpl w:val="F4B692FC"/>
    <w:lvl w:ilvl="0" w:tplc="85B0232A">
      <w:start w:val="1"/>
      <w:numFmt w:val="decimal"/>
      <w:lvlText w:val="%1."/>
      <w:lvlJc w:val="left"/>
      <w:pPr>
        <w:ind w:left="720" w:hanging="360"/>
      </w:pPr>
      <w:rPr>
        <w:rFonts w:cs="Times New Roman"/>
        <w:b w:val="0"/>
        <w:i w:val="0"/>
      </w:rPr>
    </w:lvl>
    <w:lvl w:ilvl="1" w:tplc="4B348924">
      <w:start w:val="1"/>
      <w:numFmt w:val="lowerLetter"/>
      <w:lvlText w:val="%2."/>
      <w:lvlJc w:val="left"/>
      <w:pPr>
        <w:ind w:left="1637" w:hanging="360"/>
      </w:pPr>
      <w:rPr>
        <w:rFonts w:cs="Times New Roman"/>
        <w:b w:val="0"/>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20"/>
  <w:displayHorizontalDrawingGridEvery w:val="2"/>
  <w:characterSpacingControl w:val="doNotCompress"/>
  <w:hdrShapeDefaults>
    <o:shapedefaults v:ext="edit" spidmax="12289"/>
  </w:hdrShapeDefaults>
  <w:footnotePr>
    <w:footnote w:id="-1"/>
    <w:footnote w:id="0"/>
  </w:footnotePr>
  <w:endnotePr>
    <w:endnote w:id="-1"/>
    <w:endnote w:id="0"/>
  </w:endnotePr>
  <w:compat/>
  <w:rsids>
    <w:rsidRoot w:val="005B0828"/>
    <w:rsid w:val="000D649E"/>
    <w:rsid w:val="000D64C3"/>
    <w:rsid w:val="0014557C"/>
    <w:rsid w:val="00193116"/>
    <w:rsid w:val="001D5A14"/>
    <w:rsid w:val="00210C1D"/>
    <w:rsid w:val="002240B1"/>
    <w:rsid w:val="00244887"/>
    <w:rsid w:val="00275FAE"/>
    <w:rsid w:val="00310E54"/>
    <w:rsid w:val="00391CB7"/>
    <w:rsid w:val="005B0828"/>
    <w:rsid w:val="006B0ECA"/>
    <w:rsid w:val="006B2035"/>
    <w:rsid w:val="00712A2B"/>
    <w:rsid w:val="00822F9C"/>
    <w:rsid w:val="008B1CDE"/>
    <w:rsid w:val="0096709E"/>
    <w:rsid w:val="00A812EA"/>
    <w:rsid w:val="00AD4741"/>
    <w:rsid w:val="00AF7801"/>
    <w:rsid w:val="00BB7D19"/>
    <w:rsid w:val="00BE0B6D"/>
    <w:rsid w:val="00BF64D2"/>
    <w:rsid w:val="00C24521"/>
    <w:rsid w:val="00C82405"/>
    <w:rsid w:val="00C8554F"/>
    <w:rsid w:val="00CD0ACD"/>
    <w:rsid w:val="00CD6913"/>
    <w:rsid w:val="00D908F9"/>
    <w:rsid w:val="00D944B5"/>
    <w:rsid w:val="00DA0B26"/>
    <w:rsid w:val="00DA6ED5"/>
    <w:rsid w:val="00F44A8D"/>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n-AU" w:eastAsia="en-AU" w:bidi="ar-SA"/>
      </w:rPr>
    </w:rPrDefault>
    <w:pPrDefault>
      <w:pPr>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B0828"/>
    <w:pPr>
      <w:widowControl w:val="0"/>
      <w:suppressAutoHyphens/>
      <w:autoSpaceDE w:val="0"/>
      <w:spacing w:after="0" w:line="240" w:lineRule="auto"/>
    </w:pPr>
    <w:rPr>
      <w:rFonts w:cs="Calibri"/>
      <w:sz w:val="24"/>
      <w:szCs w:val="24"/>
    </w:rPr>
  </w:style>
  <w:style w:type="paragraph" w:styleId="Heading1">
    <w:name w:val="heading 1"/>
    <w:basedOn w:val="Normal"/>
    <w:next w:val="Normal"/>
    <w:rsid w:val="005B0828"/>
    <w:pPr>
      <w:spacing w:before="1" w:line="340" w:lineRule="exact"/>
      <w:ind w:left="652" w:hanging="432"/>
      <w:outlineLvl w:val="0"/>
    </w:pPr>
    <w:rPr>
      <w:b/>
      <w:bCs/>
      <w:sz w:val="28"/>
      <w:szCs w:val="28"/>
    </w:rPr>
  </w:style>
  <w:style w:type="paragraph" w:styleId="Heading2">
    <w:name w:val="heading 2"/>
    <w:basedOn w:val="Normal"/>
    <w:next w:val="Normal"/>
    <w:rsid w:val="005B0828"/>
    <w:pPr>
      <w:spacing w:before="110"/>
      <w:ind w:left="796" w:hanging="576"/>
      <w:outlineLvl w:val="1"/>
    </w:pPr>
    <w:rPr>
      <w:b/>
      <w:bCs/>
    </w:rPr>
  </w:style>
  <w:style w:type="paragraph" w:styleId="Heading3">
    <w:name w:val="heading 3"/>
    <w:basedOn w:val="Normal"/>
    <w:next w:val="Normal"/>
    <w:rsid w:val="005B0828"/>
    <w:pPr>
      <w:spacing w:before="57"/>
      <w:ind w:left="220"/>
      <w:outlineLvl w:val="2"/>
    </w:pPr>
    <w:rPr>
      <w:b/>
      <w:bCs/>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5B0828"/>
    <w:rPr>
      <w:rFonts w:ascii="Cambria" w:eastAsia="Times New Roman" w:hAnsi="Cambria" w:cs="Times New Roman"/>
      <w:b/>
      <w:bCs/>
      <w:kern w:val="3"/>
      <w:sz w:val="32"/>
      <w:szCs w:val="32"/>
    </w:rPr>
  </w:style>
  <w:style w:type="character" w:customStyle="1" w:styleId="Heading2Char">
    <w:name w:val="Heading 2 Char"/>
    <w:basedOn w:val="DefaultParagraphFont"/>
    <w:rsid w:val="005B0828"/>
    <w:rPr>
      <w:rFonts w:ascii="Cambria" w:eastAsia="Times New Roman" w:hAnsi="Cambria" w:cs="Times New Roman"/>
      <w:b/>
      <w:bCs/>
      <w:i/>
      <w:iCs/>
      <w:sz w:val="28"/>
      <w:szCs w:val="28"/>
    </w:rPr>
  </w:style>
  <w:style w:type="character" w:customStyle="1" w:styleId="Heading3Char">
    <w:name w:val="Heading 3 Char"/>
    <w:basedOn w:val="DefaultParagraphFont"/>
    <w:rsid w:val="005B0828"/>
    <w:rPr>
      <w:rFonts w:ascii="Cambria" w:eastAsia="Times New Roman" w:hAnsi="Cambria" w:cs="Times New Roman"/>
      <w:b/>
      <w:bCs/>
      <w:sz w:val="26"/>
      <w:szCs w:val="26"/>
    </w:rPr>
  </w:style>
  <w:style w:type="paragraph" w:styleId="BodyText">
    <w:name w:val="Body Text"/>
    <w:basedOn w:val="Normal"/>
    <w:rsid w:val="005B0828"/>
    <w:rPr>
      <w:sz w:val="22"/>
      <w:szCs w:val="22"/>
    </w:rPr>
  </w:style>
  <w:style w:type="character" w:customStyle="1" w:styleId="BodyTextChar">
    <w:name w:val="Body Text Char"/>
    <w:basedOn w:val="DefaultParagraphFont"/>
    <w:rsid w:val="005B0828"/>
    <w:rPr>
      <w:rFonts w:ascii="Calibri" w:hAnsi="Calibri" w:cs="Calibri"/>
      <w:sz w:val="24"/>
      <w:szCs w:val="24"/>
    </w:rPr>
  </w:style>
  <w:style w:type="paragraph" w:styleId="ListParagraph">
    <w:name w:val="List Paragraph"/>
    <w:basedOn w:val="Normal"/>
    <w:uiPriority w:val="34"/>
    <w:qFormat/>
    <w:rsid w:val="005B0828"/>
    <w:pPr>
      <w:ind w:left="940" w:hanging="360"/>
    </w:pPr>
  </w:style>
  <w:style w:type="paragraph" w:customStyle="1" w:styleId="TableParagraph">
    <w:name w:val="Table Paragraph"/>
    <w:basedOn w:val="Normal"/>
    <w:rsid w:val="005B0828"/>
    <w:pPr>
      <w:ind w:left="103"/>
    </w:pPr>
  </w:style>
  <w:style w:type="paragraph" w:styleId="Header">
    <w:name w:val="header"/>
    <w:basedOn w:val="Normal"/>
    <w:rsid w:val="005B0828"/>
    <w:pPr>
      <w:tabs>
        <w:tab w:val="center" w:pos="4513"/>
        <w:tab w:val="right" w:pos="9026"/>
      </w:tabs>
    </w:pPr>
  </w:style>
  <w:style w:type="character" w:customStyle="1" w:styleId="HeaderChar">
    <w:name w:val="Header Char"/>
    <w:basedOn w:val="DefaultParagraphFont"/>
    <w:rsid w:val="005B0828"/>
    <w:rPr>
      <w:rFonts w:ascii="Calibri" w:hAnsi="Calibri" w:cs="Calibri"/>
      <w:sz w:val="24"/>
      <w:szCs w:val="24"/>
    </w:rPr>
  </w:style>
  <w:style w:type="paragraph" w:styleId="Footer">
    <w:name w:val="footer"/>
    <w:basedOn w:val="Normal"/>
    <w:uiPriority w:val="99"/>
    <w:rsid w:val="005B0828"/>
    <w:pPr>
      <w:tabs>
        <w:tab w:val="center" w:pos="4513"/>
        <w:tab w:val="right" w:pos="9026"/>
      </w:tabs>
    </w:pPr>
  </w:style>
  <w:style w:type="character" w:customStyle="1" w:styleId="FooterChar">
    <w:name w:val="Footer Char"/>
    <w:basedOn w:val="DefaultParagraphFont"/>
    <w:uiPriority w:val="99"/>
    <w:rsid w:val="005B0828"/>
    <w:rPr>
      <w:rFonts w:ascii="Calibri" w:hAnsi="Calibri" w:cs="Calibri"/>
      <w:sz w:val="24"/>
      <w:szCs w:val="24"/>
    </w:rPr>
  </w:style>
  <w:style w:type="paragraph" w:styleId="BalloonText">
    <w:name w:val="Balloon Text"/>
    <w:basedOn w:val="Normal"/>
    <w:rsid w:val="005B0828"/>
    <w:rPr>
      <w:rFonts w:ascii="Tahoma" w:hAnsi="Tahoma" w:cs="Tahoma"/>
      <w:sz w:val="16"/>
      <w:szCs w:val="16"/>
    </w:rPr>
  </w:style>
  <w:style w:type="character" w:customStyle="1" w:styleId="BalloonTextChar">
    <w:name w:val="Balloon Text Char"/>
    <w:basedOn w:val="DefaultParagraphFont"/>
    <w:rsid w:val="005B0828"/>
    <w:rPr>
      <w:rFonts w:ascii="Tahoma" w:hAnsi="Tahoma" w:cs="Tahoma"/>
      <w:sz w:val="16"/>
      <w:szCs w:val="16"/>
    </w:rPr>
  </w:style>
  <w:style w:type="character" w:styleId="Hyperlink">
    <w:name w:val="Hyperlink"/>
    <w:basedOn w:val="DefaultParagraphFont"/>
    <w:uiPriority w:val="99"/>
    <w:semiHidden/>
    <w:unhideWhenUsed/>
    <w:rsid w:val="00275FAE"/>
    <w:rPr>
      <w:color w:val="004899"/>
      <w:u w:val="single"/>
    </w:rPr>
  </w:style>
  <w:style w:type="character" w:styleId="Strong">
    <w:name w:val="Strong"/>
    <w:basedOn w:val="DefaultParagraphFont"/>
    <w:uiPriority w:val="22"/>
    <w:qFormat/>
    <w:rsid w:val="00275FAE"/>
    <w:rPr>
      <w:b/>
      <w:bCs/>
    </w:rPr>
  </w:style>
  <w:style w:type="paragraph" w:styleId="NormalWeb">
    <w:name w:val="Normal (Web)"/>
    <w:basedOn w:val="Normal"/>
    <w:uiPriority w:val="99"/>
    <w:semiHidden/>
    <w:unhideWhenUsed/>
    <w:rsid w:val="00275FAE"/>
    <w:pPr>
      <w:widowControl/>
      <w:suppressAutoHyphens w:val="0"/>
      <w:autoSpaceDE/>
      <w:autoSpaceDN/>
      <w:spacing w:before="168" w:after="168"/>
      <w:textAlignment w:val="auto"/>
    </w:pPr>
    <w:rPr>
      <w:rFonts w:ascii="Times New Roman" w:hAnsi="Times New Roman" w:cs="Times New Roman"/>
    </w:rPr>
  </w:style>
  <w:style w:type="character" w:styleId="FollowedHyperlink">
    <w:name w:val="FollowedHyperlink"/>
    <w:basedOn w:val="DefaultParagraphFont"/>
    <w:uiPriority w:val="99"/>
    <w:semiHidden/>
    <w:unhideWhenUsed/>
    <w:rsid w:val="00275FAE"/>
    <w:rPr>
      <w:color w:val="800080" w:themeColor="followedHyperlink"/>
      <w:u w:val="single"/>
    </w:rPr>
  </w:style>
  <w:style w:type="paragraph" w:styleId="PlainText">
    <w:name w:val="Plain Text"/>
    <w:basedOn w:val="Normal"/>
    <w:next w:val="Normal"/>
    <w:link w:val="PlainTextChar"/>
    <w:uiPriority w:val="99"/>
    <w:rsid w:val="001D5A14"/>
    <w:pPr>
      <w:widowControl/>
      <w:suppressAutoHyphens w:val="0"/>
      <w:adjustRightInd w:val="0"/>
      <w:spacing w:before="100" w:after="100"/>
      <w:textAlignment w:val="auto"/>
    </w:pPr>
    <w:rPr>
      <w:rFonts w:ascii="Arial" w:hAnsi="Arial" w:cs="Times New Roman"/>
    </w:rPr>
  </w:style>
  <w:style w:type="character" w:customStyle="1" w:styleId="PlainTextChar">
    <w:name w:val="Plain Text Char"/>
    <w:basedOn w:val="DefaultParagraphFont"/>
    <w:link w:val="PlainText"/>
    <w:uiPriority w:val="99"/>
    <w:rsid w:val="001D5A14"/>
    <w:rPr>
      <w:rFonts w:ascii="Arial" w:hAnsi="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en-AU" w:eastAsia="en-AU" w:bidi="ar-SA"/>
      </w:rPr>
    </w:rPrDefault>
    <w:pPrDefault>
      <w:pPr>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B0828"/>
    <w:pPr>
      <w:widowControl w:val="0"/>
      <w:suppressAutoHyphens/>
      <w:autoSpaceDE w:val="0"/>
      <w:spacing w:after="0" w:line="240" w:lineRule="auto"/>
    </w:pPr>
    <w:rPr>
      <w:rFonts w:cs="Calibri"/>
      <w:sz w:val="24"/>
      <w:szCs w:val="24"/>
    </w:rPr>
  </w:style>
  <w:style w:type="paragraph" w:styleId="Heading1">
    <w:name w:val="heading 1"/>
    <w:basedOn w:val="Normal"/>
    <w:next w:val="Normal"/>
    <w:rsid w:val="005B0828"/>
    <w:pPr>
      <w:spacing w:before="1" w:line="340" w:lineRule="exact"/>
      <w:ind w:left="652" w:hanging="432"/>
      <w:outlineLvl w:val="0"/>
    </w:pPr>
    <w:rPr>
      <w:b/>
      <w:bCs/>
      <w:sz w:val="28"/>
      <w:szCs w:val="28"/>
    </w:rPr>
  </w:style>
  <w:style w:type="paragraph" w:styleId="Heading2">
    <w:name w:val="heading 2"/>
    <w:basedOn w:val="Normal"/>
    <w:next w:val="Normal"/>
    <w:rsid w:val="005B0828"/>
    <w:pPr>
      <w:spacing w:before="110"/>
      <w:ind w:left="796" w:hanging="576"/>
      <w:outlineLvl w:val="1"/>
    </w:pPr>
    <w:rPr>
      <w:b/>
      <w:bCs/>
    </w:rPr>
  </w:style>
  <w:style w:type="paragraph" w:styleId="Heading3">
    <w:name w:val="heading 3"/>
    <w:basedOn w:val="Normal"/>
    <w:next w:val="Normal"/>
    <w:rsid w:val="005B0828"/>
    <w:pPr>
      <w:spacing w:before="57"/>
      <w:ind w:left="220"/>
      <w:outlineLvl w:val="2"/>
    </w:pPr>
    <w:rPr>
      <w:b/>
      <w:bCs/>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5B0828"/>
    <w:rPr>
      <w:rFonts w:ascii="Cambria" w:eastAsia="Times New Roman" w:hAnsi="Cambria" w:cs="Times New Roman"/>
      <w:b/>
      <w:bCs/>
      <w:kern w:val="3"/>
      <w:sz w:val="32"/>
      <w:szCs w:val="32"/>
    </w:rPr>
  </w:style>
  <w:style w:type="character" w:customStyle="1" w:styleId="Heading2Char">
    <w:name w:val="Heading 2 Char"/>
    <w:basedOn w:val="DefaultParagraphFont"/>
    <w:rsid w:val="005B0828"/>
    <w:rPr>
      <w:rFonts w:ascii="Cambria" w:eastAsia="Times New Roman" w:hAnsi="Cambria" w:cs="Times New Roman"/>
      <w:b/>
      <w:bCs/>
      <w:i/>
      <w:iCs/>
      <w:sz w:val="28"/>
      <w:szCs w:val="28"/>
    </w:rPr>
  </w:style>
  <w:style w:type="character" w:customStyle="1" w:styleId="Heading3Char">
    <w:name w:val="Heading 3 Char"/>
    <w:basedOn w:val="DefaultParagraphFont"/>
    <w:rsid w:val="005B0828"/>
    <w:rPr>
      <w:rFonts w:ascii="Cambria" w:eastAsia="Times New Roman" w:hAnsi="Cambria" w:cs="Times New Roman"/>
      <w:b/>
      <w:bCs/>
      <w:sz w:val="26"/>
      <w:szCs w:val="26"/>
    </w:rPr>
  </w:style>
  <w:style w:type="paragraph" w:styleId="BodyText">
    <w:name w:val="Body Text"/>
    <w:basedOn w:val="Normal"/>
    <w:rsid w:val="005B0828"/>
    <w:rPr>
      <w:sz w:val="22"/>
      <w:szCs w:val="22"/>
    </w:rPr>
  </w:style>
  <w:style w:type="character" w:customStyle="1" w:styleId="BodyTextChar">
    <w:name w:val="Body Text Char"/>
    <w:basedOn w:val="DefaultParagraphFont"/>
    <w:rsid w:val="005B0828"/>
    <w:rPr>
      <w:rFonts w:ascii="Calibri" w:hAnsi="Calibri" w:cs="Calibri"/>
      <w:sz w:val="24"/>
      <w:szCs w:val="24"/>
    </w:rPr>
  </w:style>
  <w:style w:type="paragraph" w:styleId="ListParagraph">
    <w:name w:val="List Paragraph"/>
    <w:basedOn w:val="Normal"/>
    <w:uiPriority w:val="34"/>
    <w:qFormat/>
    <w:rsid w:val="005B0828"/>
    <w:pPr>
      <w:ind w:left="940" w:hanging="360"/>
    </w:pPr>
  </w:style>
  <w:style w:type="paragraph" w:customStyle="1" w:styleId="TableParagraph">
    <w:name w:val="Table Paragraph"/>
    <w:basedOn w:val="Normal"/>
    <w:rsid w:val="005B0828"/>
    <w:pPr>
      <w:ind w:left="103"/>
    </w:pPr>
  </w:style>
  <w:style w:type="paragraph" w:styleId="Header">
    <w:name w:val="header"/>
    <w:basedOn w:val="Normal"/>
    <w:rsid w:val="005B0828"/>
    <w:pPr>
      <w:tabs>
        <w:tab w:val="center" w:pos="4513"/>
        <w:tab w:val="right" w:pos="9026"/>
      </w:tabs>
    </w:pPr>
  </w:style>
  <w:style w:type="character" w:customStyle="1" w:styleId="HeaderChar">
    <w:name w:val="Header Char"/>
    <w:basedOn w:val="DefaultParagraphFont"/>
    <w:rsid w:val="005B0828"/>
    <w:rPr>
      <w:rFonts w:ascii="Calibri" w:hAnsi="Calibri" w:cs="Calibri"/>
      <w:sz w:val="24"/>
      <w:szCs w:val="24"/>
    </w:rPr>
  </w:style>
  <w:style w:type="paragraph" w:styleId="Footer">
    <w:name w:val="footer"/>
    <w:basedOn w:val="Normal"/>
    <w:rsid w:val="005B0828"/>
    <w:pPr>
      <w:tabs>
        <w:tab w:val="center" w:pos="4513"/>
        <w:tab w:val="right" w:pos="9026"/>
      </w:tabs>
    </w:pPr>
  </w:style>
  <w:style w:type="character" w:customStyle="1" w:styleId="FooterChar">
    <w:name w:val="Footer Char"/>
    <w:basedOn w:val="DefaultParagraphFont"/>
    <w:rsid w:val="005B0828"/>
    <w:rPr>
      <w:rFonts w:ascii="Calibri" w:hAnsi="Calibri" w:cs="Calibri"/>
      <w:sz w:val="24"/>
      <w:szCs w:val="24"/>
    </w:rPr>
  </w:style>
  <w:style w:type="paragraph" w:styleId="BalloonText">
    <w:name w:val="Balloon Text"/>
    <w:basedOn w:val="Normal"/>
    <w:rsid w:val="005B0828"/>
    <w:rPr>
      <w:rFonts w:ascii="Tahoma" w:hAnsi="Tahoma" w:cs="Tahoma"/>
      <w:sz w:val="16"/>
      <w:szCs w:val="16"/>
    </w:rPr>
  </w:style>
  <w:style w:type="character" w:customStyle="1" w:styleId="BalloonTextChar">
    <w:name w:val="Balloon Text Char"/>
    <w:basedOn w:val="DefaultParagraphFont"/>
    <w:rsid w:val="005B082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08541463">
      <w:bodyDiv w:val="1"/>
      <w:marLeft w:val="0"/>
      <w:marRight w:val="0"/>
      <w:marTop w:val="0"/>
      <w:marBottom w:val="0"/>
      <w:divBdr>
        <w:top w:val="none" w:sz="0" w:space="0" w:color="auto"/>
        <w:left w:val="none" w:sz="0" w:space="0" w:color="auto"/>
        <w:bottom w:val="none" w:sz="0" w:space="0" w:color="auto"/>
        <w:right w:val="none" w:sz="0" w:space="0" w:color="auto"/>
      </w:divBdr>
    </w:div>
    <w:div w:id="1524899119">
      <w:bodyDiv w:val="1"/>
      <w:marLeft w:val="0"/>
      <w:marRight w:val="0"/>
      <w:marTop w:val="0"/>
      <w:marBottom w:val="0"/>
      <w:divBdr>
        <w:top w:val="none" w:sz="0" w:space="0" w:color="auto"/>
        <w:left w:val="none" w:sz="0" w:space="0" w:color="auto"/>
        <w:bottom w:val="none" w:sz="0" w:space="0" w:color="auto"/>
        <w:right w:val="none" w:sz="0" w:space="0" w:color="auto"/>
      </w:divBdr>
      <w:divsChild>
        <w:div w:id="2069181386">
          <w:marLeft w:val="0"/>
          <w:marRight w:val="0"/>
          <w:marTop w:val="0"/>
          <w:marBottom w:val="0"/>
          <w:divBdr>
            <w:top w:val="none" w:sz="0" w:space="0" w:color="auto"/>
            <w:left w:val="none" w:sz="0" w:space="0" w:color="auto"/>
            <w:bottom w:val="none" w:sz="0" w:space="0" w:color="auto"/>
            <w:right w:val="none" w:sz="0" w:space="0" w:color="auto"/>
          </w:divBdr>
          <w:divsChild>
            <w:div w:id="1461146743">
              <w:marLeft w:val="0"/>
              <w:marRight w:val="0"/>
              <w:marTop w:val="0"/>
              <w:marBottom w:val="0"/>
              <w:divBdr>
                <w:top w:val="none" w:sz="0" w:space="0" w:color="auto"/>
                <w:left w:val="none" w:sz="0" w:space="0" w:color="auto"/>
                <w:bottom w:val="none" w:sz="0" w:space="0" w:color="auto"/>
                <w:right w:val="none" w:sz="0" w:space="0" w:color="auto"/>
              </w:divBdr>
              <w:divsChild>
                <w:div w:id="1852135979">
                  <w:marLeft w:val="0"/>
                  <w:marRight w:val="0"/>
                  <w:marTop w:val="0"/>
                  <w:marBottom w:val="136"/>
                  <w:divBdr>
                    <w:top w:val="single" w:sz="6" w:space="5" w:color="143351"/>
                    <w:left w:val="single" w:sz="6" w:space="10" w:color="143351"/>
                    <w:bottom w:val="single" w:sz="6" w:space="5" w:color="143351"/>
                    <w:right w:val="single" w:sz="6" w:space="10" w:color="143351"/>
                  </w:divBdr>
                  <w:divsChild>
                    <w:div w:id="2062904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microsoft.com/office/2007/relationships/stylesWithEffects" Target="stylesWithEffects.xml"/></Relationships>
</file>

<file path=word/_rels/footer2.xml.rels><?xml version="1.0" encoding="UTF-8" standalone="yes"?>
<Relationships xmlns="http://schemas.openxmlformats.org/package/2006/relationships"><Relationship Id="rId1" Type="http://schemas.openxmlformats.org/officeDocument/2006/relationships/hyperlink" Target="http://www.revenue.act.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747184-48D3-4FD3-BA53-2D6EA6EB9C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434</Words>
  <Characters>2478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2907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Tereza Zilic</dc:creator>
  <cp:lastModifiedBy>Tereza Zilic</cp:lastModifiedBy>
  <cp:revision>3</cp:revision>
  <cp:lastPrinted>2017-05-08T23:51:00Z</cp:lastPrinted>
  <dcterms:created xsi:type="dcterms:W3CDTF">2017-05-12T01:49:00Z</dcterms:created>
  <dcterms:modified xsi:type="dcterms:W3CDTF">2017-05-12T01:55:00Z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Office Word 2007</vt:lpwstr>
  </property>
</Properties>
</file>