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4E43D1"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782"/>
      </w:tblGrid>
      <w:tr w:rsidR="00F44A8D" w:rsidRPr="00404085"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PTA0</w:t>
            </w:r>
            <w:r w:rsidR="00052F80">
              <w:rPr>
                <w:b/>
                <w:lang w:eastAsia="en-US"/>
              </w:rPr>
              <w:t>11</w:t>
            </w:r>
          </w:p>
        </w:tc>
      </w:tr>
      <w:tr w:rsidR="00F44A8D" w:rsidRPr="00404085"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4B438D" w:rsidP="00AD4741">
            <w:pPr>
              <w:jc w:val="both"/>
              <w:rPr>
                <w:lang w:eastAsia="en-US"/>
              </w:rPr>
            </w:pPr>
            <w:r>
              <w:rPr>
                <w:lang w:eastAsia="en-US"/>
              </w:rPr>
              <w:t>Allowances and Reimbursements</w:t>
            </w:r>
            <w:r w:rsidR="00F44A8D">
              <w:rPr>
                <w:lang w:eastAsia="en-US"/>
              </w:rPr>
              <w:t xml:space="preserve"> – </w:t>
            </w:r>
            <w:r w:rsidR="00F44A8D" w:rsidRPr="00F44A8D">
              <w:rPr>
                <w:i/>
                <w:lang w:eastAsia="en-US"/>
              </w:rPr>
              <w:t>Payroll Tax Act 2011</w:t>
            </w:r>
          </w:p>
        </w:tc>
      </w:tr>
      <w:tr w:rsidR="00F44A8D" w:rsidRPr="00404085"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4B438D">
            <w:pPr>
              <w:jc w:val="both"/>
              <w:rPr>
                <w:lang w:eastAsia="en-US"/>
              </w:rPr>
            </w:pPr>
            <w:r>
              <w:rPr>
                <w:lang w:eastAsia="en-US"/>
              </w:rPr>
              <w:t xml:space="preserve">Issue Date: </w:t>
            </w:r>
            <w:r w:rsidR="004B438D">
              <w:rPr>
                <w:lang w:eastAsia="en-US"/>
              </w:rPr>
              <w:t>30 June 2011</w:t>
            </w:r>
          </w:p>
        </w:tc>
      </w:tr>
      <w:tr w:rsidR="00F44A8D" w:rsidRPr="00404085"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E27DC">
            <w:pPr>
              <w:jc w:val="both"/>
            </w:pPr>
            <w:r>
              <w:t>Status: Current</w:t>
            </w:r>
            <w:r w:rsidR="004B438D">
              <w:t xml:space="preserve"> – </w:t>
            </w:r>
            <w:r w:rsidR="009E27DC">
              <w:t>E</w:t>
            </w:r>
            <w:r w:rsidR="004B438D">
              <w:t>ffective 1 July 2011</w:t>
            </w:r>
          </w:p>
        </w:tc>
      </w:tr>
      <w:tr w:rsidR="00310E54" w:rsidRPr="00404085" w:rsidTr="004B438D">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4B438D">
            <w:pPr>
              <w:jc w:val="both"/>
            </w:pPr>
            <w:r>
              <w:t>Previous Circular: PT</w:t>
            </w:r>
            <w:r w:rsidR="004B438D">
              <w:t>X011</w:t>
            </w:r>
          </w:p>
        </w:tc>
      </w:tr>
    </w:tbl>
    <w:p w:rsidR="00F44A8D" w:rsidRPr="00AD4741" w:rsidRDefault="009E27DC" w:rsidP="004B438D">
      <w:pPr>
        <w:pStyle w:val="Heading1"/>
        <w:spacing w:before="120" w:after="120" w:line="240" w:lineRule="auto"/>
        <w:ind w:left="1701" w:hanging="567"/>
        <w:jc w:val="both"/>
      </w:pPr>
      <w:r>
        <w:t>Preamble</w:t>
      </w:r>
    </w:p>
    <w:p w:rsidR="004B438D" w:rsidRDefault="004B438D" w:rsidP="004B438D">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4B438D" w:rsidRPr="00B7741C" w:rsidRDefault="004B438D" w:rsidP="004B438D">
      <w:pPr>
        <w:adjustRightInd w:val="0"/>
        <w:spacing w:before="120" w:after="120"/>
        <w:ind w:left="1701" w:hanging="567"/>
        <w:jc w:val="both"/>
        <w:rPr>
          <w:rFonts w:cs="Arial"/>
          <w:color w:val="000000"/>
        </w:rPr>
      </w:pPr>
      <w:r w:rsidRPr="00B7741C">
        <w:rPr>
          <w:rFonts w:cs="Arial"/>
          <w:color w:val="000000"/>
        </w:rPr>
        <w:t>1.</w:t>
      </w:r>
      <w:r w:rsidRPr="00B7741C">
        <w:rPr>
          <w:rFonts w:cs="Arial"/>
          <w:color w:val="000000"/>
        </w:rPr>
        <w:tab/>
        <w:t xml:space="preserve">The definition of wages in section 13 of </w:t>
      </w:r>
      <w:r w:rsidRPr="00B7741C">
        <w:rPr>
          <w:rFonts w:cs="Arial"/>
        </w:rPr>
        <w:t xml:space="preserve">the Act </w:t>
      </w:r>
      <w:r w:rsidRPr="00B7741C">
        <w:rPr>
          <w:rFonts w:cs="Arial"/>
          <w:color w:val="000000"/>
        </w:rPr>
        <w:t xml:space="preserve">includes allowances.  Employers often pay employees various types of allowances either to compensate them for unfavourable working conditions or to cover estimated expenses.  </w:t>
      </w:r>
    </w:p>
    <w:p w:rsidR="004B438D" w:rsidRPr="00B7741C" w:rsidRDefault="004B438D" w:rsidP="004B438D">
      <w:pPr>
        <w:adjustRightInd w:val="0"/>
        <w:spacing w:before="120" w:after="120"/>
        <w:ind w:left="1701" w:hanging="567"/>
        <w:jc w:val="both"/>
        <w:rPr>
          <w:rFonts w:cs="Arial"/>
          <w:color w:val="000000"/>
        </w:rPr>
      </w:pPr>
      <w:r w:rsidRPr="00B7741C">
        <w:rPr>
          <w:rFonts w:cs="Arial"/>
          <w:color w:val="000000"/>
        </w:rPr>
        <w:t>2.</w:t>
      </w:r>
      <w:r w:rsidRPr="00B7741C">
        <w:rPr>
          <w:rFonts w:cs="Arial"/>
          <w:color w:val="000000"/>
        </w:rPr>
        <w:tab/>
        <w:t xml:space="preserve">Allowances are also commonly paid to comply with award requirements.  Common examples include allowances for a motor vehicle, tools, accommodation, tea, meal, travel, dirt and first-aid.  Alternatively, an employer may reimburse an employee the exact amount of expenses incurred.  </w:t>
      </w:r>
    </w:p>
    <w:p w:rsidR="004B438D" w:rsidRPr="00E538EB" w:rsidRDefault="004B438D" w:rsidP="004B438D">
      <w:pPr>
        <w:adjustRightInd w:val="0"/>
        <w:spacing w:before="120" w:after="120"/>
        <w:ind w:left="1701" w:hanging="567"/>
        <w:jc w:val="both"/>
        <w:rPr>
          <w:rFonts w:cs="Arial"/>
        </w:rPr>
      </w:pPr>
      <w:r w:rsidRPr="00B7741C">
        <w:rPr>
          <w:rFonts w:cs="Arial"/>
          <w:color w:val="000000"/>
        </w:rPr>
        <w:t>3.</w:t>
      </w:r>
      <w:r w:rsidRPr="00B7741C">
        <w:rPr>
          <w:rFonts w:cs="Arial"/>
          <w:color w:val="000000"/>
        </w:rPr>
        <w:tab/>
        <w:t xml:space="preserve">The purpose of this circular is to explain the payroll tax treatment of allowances and reimbursements paid to an employee and any person taken to be an </w:t>
      </w:r>
      <w:r w:rsidRPr="00E538EB">
        <w:rPr>
          <w:rFonts w:cs="Arial"/>
        </w:rPr>
        <w:t xml:space="preserve">employee under Division </w:t>
      </w:r>
      <w:r>
        <w:rPr>
          <w:rFonts w:cs="Arial"/>
        </w:rPr>
        <w:t>3.7</w:t>
      </w:r>
      <w:r w:rsidRPr="00E538EB">
        <w:rPr>
          <w:rFonts w:cs="Arial"/>
        </w:rPr>
        <w:t xml:space="preserve"> of Part 3 of the Act. </w:t>
      </w:r>
    </w:p>
    <w:p w:rsidR="00F44A8D" w:rsidRPr="00AD4741" w:rsidRDefault="00F44A8D" w:rsidP="00AD4741">
      <w:pPr>
        <w:pStyle w:val="Heading1"/>
        <w:ind w:left="1134" w:firstLine="0"/>
        <w:jc w:val="both"/>
        <w:rPr>
          <w:rFonts w:asciiTheme="minorHAnsi" w:hAnsiTheme="minorHAnsi"/>
        </w:rPr>
      </w:pPr>
      <w:r w:rsidRPr="00AD4741">
        <w:rPr>
          <w:rFonts w:asciiTheme="minorHAnsi" w:hAnsiTheme="minorHAnsi"/>
        </w:rPr>
        <w:t>Circular</w:t>
      </w:r>
    </w:p>
    <w:p w:rsidR="004B438D" w:rsidRPr="004F41E9" w:rsidRDefault="004B438D" w:rsidP="004B438D">
      <w:pPr>
        <w:ind w:left="1134"/>
        <w:outlineLvl w:val="1"/>
        <w:rPr>
          <w:rFonts w:cs="Arial"/>
          <w:b/>
          <w:sz w:val="26"/>
          <w:szCs w:val="26"/>
        </w:rPr>
      </w:pPr>
      <w:r w:rsidRPr="004F41E9">
        <w:rPr>
          <w:rFonts w:cs="Arial"/>
          <w:b/>
          <w:sz w:val="26"/>
          <w:szCs w:val="26"/>
        </w:rPr>
        <w:t>Allowances and Reimbursements</w:t>
      </w:r>
    </w:p>
    <w:p w:rsidR="004B438D" w:rsidRPr="00B7741C" w:rsidRDefault="004B438D" w:rsidP="004B438D">
      <w:pPr>
        <w:tabs>
          <w:tab w:val="left" w:pos="10773"/>
        </w:tabs>
        <w:adjustRightInd w:val="0"/>
        <w:spacing w:before="120" w:after="120"/>
        <w:ind w:left="1701" w:hanging="567"/>
        <w:jc w:val="both"/>
        <w:rPr>
          <w:rFonts w:cs="Arial"/>
          <w:color w:val="000000"/>
        </w:rPr>
      </w:pPr>
      <w:r w:rsidRPr="00B7741C">
        <w:rPr>
          <w:rFonts w:cs="Arial"/>
          <w:color w:val="000000"/>
        </w:rPr>
        <w:t>4.</w:t>
      </w:r>
      <w:r w:rsidRPr="00B7741C">
        <w:rPr>
          <w:rFonts w:cs="Arial"/>
          <w:color w:val="000000"/>
        </w:rPr>
        <w:tab/>
        <w:t xml:space="preserve">Allowances are generally subject to payroll tax.  </w:t>
      </w:r>
    </w:p>
    <w:p w:rsidR="00F44A8D" w:rsidRPr="004B438D" w:rsidRDefault="004B438D" w:rsidP="004B438D">
      <w:pPr>
        <w:adjustRightInd w:val="0"/>
        <w:spacing w:before="120" w:after="120"/>
        <w:ind w:left="1701" w:hanging="567"/>
        <w:jc w:val="both"/>
        <w:rPr>
          <w:rFonts w:cs="Arial"/>
          <w:color w:val="000000"/>
        </w:rPr>
      </w:pPr>
      <w:r w:rsidRPr="00B7741C">
        <w:rPr>
          <w:rFonts w:cs="Arial"/>
          <w:color w:val="000000"/>
        </w:rPr>
        <w:t>5.</w:t>
      </w:r>
      <w:r w:rsidRPr="00B7741C">
        <w:rPr>
          <w:rFonts w:cs="Arial"/>
          <w:color w:val="000000"/>
        </w:rPr>
        <w:tab/>
        <w:t xml:space="preserve">The only allowances that are not wholly taxable are motor vehicle allowances, accommodation allowances and living away from home allowances.  For more information on these allowances, see Revenue Circular PTA005.  </w:t>
      </w:r>
      <w:r w:rsidRPr="004B438D">
        <w:rPr>
          <w:rFonts w:cs="Arial"/>
          <w:color w:val="000000"/>
        </w:rPr>
        <w:t>In these cases, the exempt rate of the allowance is as determined by the Minister by Notifiable Instrument.  In the absence of the Minister’s determination, the exempt rate is as determined by the Australian Taxation Office</w:t>
      </w:r>
    </w:p>
    <w:p w:rsidR="004B438D" w:rsidRDefault="004B438D" w:rsidP="004B438D">
      <w:pPr>
        <w:adjustRightInd w:val="0"/>
        <w:spacing w:before="120" w:after="120"/>
        <w:ind w:left="1701" w:hanging="567"/>
        <w:jc w:val="both"/>
        <w:rPr>
          <w:rFonts w:cs="Arial"/>
          <w:color w:val="000000"/>
        </w:rPr>
      </w:pPr>
      <w:r w:rsidRPr="00B7741C">
        <w:rPr>
          <w:rFonts w:cs="Arial"/>
          <w:color w:val="000000"/>
        </w:rPr>
        <w:t>6.</w:t>
      </w:r>
      <w:r w:rsidRPr="00B7741C">
        <w:rPr>
          <w:rFonts w:cs="Arial"/>
          <w:color w:val="000000"/>
        </w:rPr>
        <w:tab/>
        <w:t xml:space="preserve">On the other hand, reimbursements are only taxable where they are subject to fringe benefits tax under the </w:t>
      </w:r>
      <w:r w:rsidRPr="00B7741C">
        <w:rPr>
          <w:rFonts w:cs="Arial"/>
          <w:i/>
          <w:iCs/>
          <w:color w:val="000000"/>
        </w:rPr>
        <w:t xml:space="preserve">Fringe Benefits Tax Assessment Act 1986 </w:t>
      </w:r>
      <w:r w:rsidRPr="00B7741C">
        <w:rPr>
          <w:rFonts w:cs="Arial"/>
          <w:iCs/>
        </w:rPr>
        <w:t>(</w:t>
      </w:r>
      <w:proofErr w:type="spellStart"/>
      <w:r w:rsidRPr="00B7741C">
        <w:rPr>
          <w:rFonts w:cs="Arial"/>
          <w:iCs/>
        </w:rPr>
        <w:t>C</w:t>
      </w:r>
      <w:r>
        <w:rPr>
          <w:rFonts w:cs="Arial"/>
          <w:iCs/>
        </w:rPr>
        <w:t>w</w:t>
      </w:r>
      <w:r w:rsidRPr="00B7741C">
        <w:rPr>
          <w:rFonts w:cs="Arial"/>
          <w:iCs/>
        </w:rPr>
        <w:t>th</w:t>
      </w:r>
      <w:proofErr w:type="spellEnd"/>
      <w:r w:rsidRPr="00B7741C">
        <w:rPr>
          <w:rFonts w:cs="Arial"/>
          <w:iCs/>
        </w:rPr>
        <w:t xml:space="preserve">) </w:t>
      </w:r>
      <w:r w:rsidRPr="00B7741C">
        <w:rPr>
          <w:rFonts w:cs="Arial"/>
          <w:color w:val="000000"/>
        </w:rPr>
        <w:t>(the FBT Act). A reimbursement of an expense is not subject to payroll tax if the reimbursement has all of the following characteristics:</w:t>
      </w:r>
    </w:p>
    <w:p w:rsidR="004B438D" w:rsidRPr="004B438D" w:rsidRDefault="004B438D" w:rsidP="004B438D"/>
    <w:p w:rsidR="00F44A8D" w:rsidRDefault="00F44A8D" w:rsidP="00AD4741">
      <w:pPr>
        <w:pStyle w:val="Heading2"/>
        <w:ind w:left="1701"/>
        <w:jc w:val="both"/>
        <w:sectPr w:rsidR="00F44A8D" w:rsidSect="00F44A8D">
          <w:headerReference w:type="default" r:id="rId9"/>
          <w:footerReference w:type="default" r:id="rId10"/>
          <w:footerReference w:type="first" r:id="rId11"/>
          <w:pgSz w:w="11910" w:h="16840" w:code="9"/>
          <w:pgMar w:top="-9" w:right="995" w:bottom="1100" w:left="0" w:header="0" w:footer="318" w:gutter="0"/>
          <w:cols w:space="720"/>
          <w:titlePg/>
          <w:docGrid w:linePitch="326"/>
        </w:sectPr>
      </w:pPr>
    </w:p>
    <w:p w:rsidR="004B438D" w:rsidRPr="00B7741C" w:rsidRDefault="004B438D" w:rsidP="004B438D">
      <w:pPr>
        <w:widowControl/>
        <w:numPr>
          <w:ilvl w:val="0"/>
          <w:numId w:val="4"/>
        </w:numPr>
        <w:tabs>
          <w:tab w:val="clear" w:pos="1440"/>
        </w:tabs>
        <w:suppressAutoHyphens w:val="0"/>
        <w:adjustRightInd w:val="0"/>
        <w:spacing w:before="120" w:after="120"/>
        <w:ind w:left="2268" w:right="48" w:hanging="425"/>
        <w:jc w:val="both"/>
        <w:textAlignment w:val="auto"/>
        <w:rPr>
          <w:rFonts w:cs="Arial"/>
          <w:color w:val="000000"/>
        </w:rPr>
      </w:pPr>
      <w:r>
        <w:rPr>
          <w:rFonts w:cs="Arial"/>
          <w:color w:val="000000"/>
        </w:rPr>
        <w:lastRenderedPageBreak/>
        <w:t xml:space="preserve">at the time </w:t>
      </w:r>
      <w:r w:rsidRPr="00B7741C">
        <w:rPr>
          <w:rFonts w:cs="Arial"/>
          <w:color w:val="000000"/>
        </w:rPr>
        <w:t>payment, the expense has already been incurred by the e</w:t>
      </w:r>
      <w:r w:rsidRPr="00B7741C">
        <w:rPr>
          <w:rFonts w:cs="Arial"/>
          <w:color w:val="000000"/>
        </w:rPr>
        <w:t>m</w:t>
      </w:r>
      <w:r w:rsidRPr="00B7741C">
        <w:rPr>
          <w:rFonts w:cs="Arial"/>
          <w:color w:val="000000"/>
        </w:rPr>
        <w:t>ployee; however, if the payment was made in advance, the employee has provided the employer with a receipt relating to the expense and refunded any excess from the advance payment;</w:t>
      </w:r>
    </w:p>
    <w:p w:rsidR="004B438D" w:rsidRPr="00B7741C" w:rsidRDefault="004B438D" w:rsidP="004B438D">
      <w:pPr>
        <w:widowControl/>
        <w:numPr>
          <w:ilvl w:val="0"/>
          <w:numId w:val="4"/>
        </w:numPr>
        <w:tabs>
          <w:tab w:val="clear" w:pos="1440"/>
        </w:tabs>
        <w:suppressAutoHyphens w:val="0"/>
        <w:adjustRightInd w:val="0"/>
        <w:spacing w:before="120" w:after="120"/>
        <w:ind w:left="2268" w:right="48" w:hanging="425"/>
        <w:jc w:val="both"/>
        <w:textAlignment w:val="auto"/>
        <w:rPr>
          <w:rFonts w:cs="Arial"/>
          <w:color w:val="000000"/>
        </w:rPr>
      </w:pPr>
      <w:r w:rsidRPr="00B7741C">
        <w:rPr>
          <w:rFonts w:cs="Arial"/>
          <w:color w:val="000000"/>
        </w:rPr>
        <w:t>the expenditure by the employee was incurred in the course of the e</w:t>
      </w:r>
      <w:r w:rsidRPr="00B7741C">
        <w:rPr>
          <w:rFonts w:cs="Arial"/>
          <w:color w:val="000000"/>
        </w:rPr>
        <w:t>m</w:t>
      </w:r>
      <w:r w:rsidRPr="00B7741C">
        <w:rPr>
          <w:rFonts w:cs="Arial"/>
          <w:color w:val="000000"/>
        </w:rPr>
        <w:t>ployer’s business, and</w:t>
      </w:r>
    </w:p>
    <w:p w:rsidR="004B438D" w:rsidRPr="00B7741C" w:rsidRDefault="004B438D" w:rsidP="004B438D">
      <w:pPr>
        <w:widowControl/>
        <w:numPr>
          <w:ilvl w:val="0"/>
          <w:numId w:val="4"/>
        </w:numPr>
        <w:tabs>
          <w:tab w:val="clear" w:pos="1440"/>
        </w:tabs>
        <w:suppressAutoHyphens w:val="0"/>
        <w:adjustRightInd w:val="0"/>
        <w:spacing w:before="120" w:after="120"/>
        <w:ind w:left="2268" w:right="48" w:hanging="425"/>
        <w:jc w:val="both"/>
        <w:textAlignment w:val="auto"/>
        <w:rPr>
          <w:rFonts w:cs="Arial"/>
          <w:color w:val="000000"/>
        </w:rPr>
      </w:pPr>
      <w:proofErr w:type="gramStart"/>
      <w:r w:rsidRPr="00B7741C">
        <w:rPr>
          <w:rFonts w:cs="Arial"/>
          <w:color w:val="000000"/>
        </w:rPr>
        <w:t>the</w:t>
      </w:r>
      <w:proofErr w:type="gramEnd"/>
      <w:r w:rsidRPr="00B7741C">
        <w:rPr>
          <w:rFonts w:cs="Arial"/>
          <w:color w:val="000000"/>
        </w:rPr>
        <w:t xml:space="preserve"> precise amount is reimbursed. </w:t>
      </w:r>
    </w:p>
    <w:p w:rsidR="004B438D" w:rsidRPr="00B7741C" w:rsidRDefault="004B438D" w:rsidP="004B438D">
      <w:pPr>
        <w:adjustRightInd w:val="0"/>
        <w:spacing w:before="120" w:after="120"/>
        <w:ind w:left="567" w:hanging="567"/>
        <w:rPr>
          <w:rFonts w:cs="Arial"/>
          <w:color w:val="000000"/>
        </w:rPr>
      </w:pPr>
      <w:r w:rsidRPr="00B7741C">
        <w:rPr>
          <w:rFonts w:cs="Arial"/>
          <w:color w:val="000000"/>
        </w:rPr>
        <w:t>7.</w:t>
      </w:r>
      <w:r w:rsidRPr="00B7741C">
        <w:rPr>
          <w:rFonts w:cs="Arial"/>
          <w:color w:val="000000"/>
        </w:rPr>
        <w:tab/>
        <w:t xml:space="preserve">However, if a reimbursement is subject to fringe benefits tax, it is also subject to payroll tax, regardless of whether the reimbursement has all the above characteristics.  </w:t>
      </w:r>
    </w:p>
    <w:p w:rsidR="004B438D" w:rsidRDefault="004B438D" w:rsidP="004B438D">
      <w:pPr>
        <w:adjustRightInd w:val="0"/>
        <w:spacing w:before="120" w:after="120"/>
        <w:ind w:left="567" w:hanging="567"/>
        <w:rPr>
          <w:rFonts w:cs="Arial"/>
          <w:color w:val="000000"/>
        </w:rPr>
      </w:pPr>
      <w:r w:rsidRPr="00B7741C">
        <w:rPr>
          <w:rFonts w:cs="Arial"/>
          <w:color w:val="000000"/>
        </w:rPr>
        <w:t>8.</w:t>
      </w:r>
      <w:r w:rsidRPr="00B7741C">
        <w:rPr>
          <w:rFonts w:cs="Arial"/>
          <w:color w:val="000000"/>
        </w:rPr>
        <w:tab/>
        <w:t>For more information on the payroll tax treatment of fringe benefits, see Revenue Circular PTA003.  A reimbursement that is an exempt fringe benefit under the FBT</w:t>
      </w:r>
      <w:r>
        <w:rPr>
          <w:rFonts w:cs="Arial"/>
          <w:color w:val="000000"/>
        </w:rPr>
        <w:t xml:space="preserve"> Act</w:t>
      </w:r>
      <w:r w:rsidRPr="00B7741C">
        <w:rPr>
          <w:rFonts w:cs="Arial"/>
          <w:color w:val="000000"/>
        </w:rPr>
        <w:t xml:space="preserve"> is also exempt from payroll tax.  </w:t>
      </w:r>
    </w:p>
    <w:p w:rsidR="00310E54" w:rsidRDefault="00310E54" w:rsidP="004B438D">
      <w:pPr>
        <w:adjustRightInd w:val="0"/>
        <w:jc w:val="both"/>
        <w:rPr>
          <w:rFonts w:cs="Arial"/>
          <w:bCs/>
        </w:rPr>
      </w:pPr>
    </w:p>
    <w:p w:rsidR="00F44A8D" w:rsidRDefault="00F44A8D" w:rsidP="004B438D">
      <w:pPr>
        <w:adjustRightInd w:val="0"/>
        <w:jc w:val="both"/>
        <w:rPr>
          <w:rFonts w:cs="Arial"/>
          <w:bCs/>
        </w:rPr>
      </w:pPr>
      <w:r>
        <w:rPr>
          <w:rFonts w:cs="Arial"/>
          <w:bCs/>
        </w:rPr>
        <w:t>SIGNED</w:t>
      </w:r>
    </w:p>
    <w:p w:rsidR="00F44A8D" w:rsidRPr="00564BD6" w:rsidRDefault="00F44A8D" w:rsidP="004B438D">
      <w:pPr>
        <w:adjustRightInd w:val="0"/>
        <w:jc w:val="both"/>
        <w:rPr>
          <w:rFonts w:cs="Arial"/>
          <w:bCs/>
        </w:rPr>
      </w:pPr>
    </w:p>
    <w:p w:rsidR="00F44A8D" w:rsidRPr="00564BD6" w:rsidRDefault="004B438D" w:rsidP="004B438D">
      <w:pPr>
        <w:adjustRightInd w:val="0"/>
        <w:jc w:val="both"/>
        <w:rPr>
          <w:rFonts w:cs="Arial"/>
          <w:bCs/>
        </w:rPr>
      </w:pPr>
      <w:r>
        <w:rPr>
          <w:rFonts w:cs="Arial"/>
          <w:bCs/>
        </w:rPr>
        <w:t>David Read</w:t>
      </w:r>
    </w:p>
    <w:p w:rsidR="00F44A8D" w:rsidRPr="00564BD6" w:rsidRDefault="00F44A8D" w:rsidP="004B438D">
      <w:pPr>
        <w:adjustRightInd w:val="0"/>
        <w:jc w:val="both"/>
        <w:rPr>
          <w:rFonts w:cs="Arial"/>
        </w:rPr>
      </w:pPr>
      <w:r w:rsidRPr="00564BD6">
        <w:rPr>
          <w:rFonts w:cs="Arial"/>
        </w:rPr>
        <w:t>Commissioner for ACT Revenue</w:t>
      </w:r>
    </w:p>
    <w:p w:rsidR="00F44A8D" w:rsidRPr="00310E54" w:rsidRDefault="004B438D" w:rsidP="004B438D">
      <w:pPr>
        <w:adjustRightInd w:val="0"/>
        <w:jc w:val="both"/>
        <w:rPr>
          <w:rFonts w:cs="Arial"/>
          <w:bCs/>
        </w:rPr>
      </w:pPr>
      <w:r>
        <w:rPr>
          <w:rFonts w:cs="Arial"/>
          <w:bCs/>
        </w:rPr>
        <w:t>30 June 2011</w:t>
      </w:r>
    </w:p>
    <w:sectPr w:rsidR="00F44A8D" w:rsidRPr="00310E54" w:rsidSect="004B438D">
      <w:pgSz w:w="11910" w:h="16840" w:code="9"/>
      <w:pgMar w:top="1100" w:right="992" w:bottom="1100"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4E6E068F"/>
    <w:multiLevelType w:val="hybridMultilevel"/>
    <w:tmpl w:val="9FECABA2"/>
    <w:lvl w:ilvl="0" w:tplc="E1565F5E">
      <w:start w:val="1"/>
      <w:numFmt w:val="lowerLetter"/>
      <w:lvlText w:val="(%1)"/>
      <w:lvlJc w:val="left"/>
      <w:pPr>
        <w:tabs>
          <w:tab w:val="num" w:pos="1440"/>
        </w:tabs>
        <w:ind w:left="1440" w:hanging="720"/>
      </w:pPr>
      <w:rPr>
        <w:rFonts w:cs="Times New Roman" w:hint="default"/>
      </w:rPr>
    </w:lvl>
    <w:lvl w:ilvl="1" w:tplc="0C090003" w:tentative="1">
      <w:start w:val="1"/>
      <w:numFmt w:val="bullet"/>
      <w:lvlText w:val="o"/>
      <w:lvlJc w:val="left"/>
      <w:pPr>
        <w:tabs>
          <w:tab w:val="num" w:pos="1877"/>
        </w:tabs>
        <w:ind w:left="1877" w:hanging="360"/>
      </w:pPr>
      <w:rPr>
        <w:rFonts w:ascii="Courier New" w:hAnsi="Courier New" w:hint="default"/>
      </w:rPr>
    </w:lvl>
    <w:lvl w:ilvl="2" w:tplc="0C090005" w:tentative="1">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5B0828"/>
    <w:rsid w:val="00052F80"/>
    <w:rsid w:val="000D649E"/>
    <w:rsid w:val="000D64C3"/>
    <w:rsid w:val="00193116"/>
    <w:rsid w:val="00210C1D"/>
    <w:rsid w:val="002240B1"/>
    <w:rsid w:val="00244887"/>
    <w:rsid w:val="00275FAE"/>
    <w:rsid w:val="0030056F"/>
    <w:rsid w:val="00310E54"/>
    <w:rsid w:val="00391CB7"/>
    <w:rsid w:val="003B181D"/>
    <w:rsid w:val="004B438D"/>
    <w:rsid w:val="004E43D1"/>
    <w:rsid w:val="005B0828"/>
    <w:rsid w:val="006B0ECA"/>
    <w:rsid w:val="006B2035"/>
    <w:rsid w:val="00822F9C"/>
    <w:rsid w:val="008B1CDE"/>
    <w:rsid w:val="009E27DC"/>
    <w:rsid w:val="00A812EA"/>
    <w:rsid w:val="00AD4741"/>
    <w:rsid w:val="00AF7801"/>
    <w:rsid w:val="00B81C65"/>
    <w:rsid w:val="00BE0B6D"/>
    <w:rsid w:val="00BE595D"/>
    <w:rsid w:val="00BF64D2"/>
    <w:rsid w:val="00C82405"/>
    <w:rsid w:val="00C8554F"/>
    <w:rsid w:val="00CD0ACD"/>
    <w:rsid w:val="00CD6913"/>
    <w:rsid w:val="00CF0155"/>
    <w:rsid w:val="00D908F9"/>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55CE9-032C-47E4-B77F-A7304A50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6</cp:revision>
  <cp:lastPrinted>2017-05-08T23:51:00Z</cp:lastPrinted>
  <dcterms:created xsi:type="dcterms:W3CDTF">2017-05-11T01:29:00Z</dcterms:created>
  <dcterms:modified xsi:type="dcterms:W3CDTF">2017-05-11T05:14:00Z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