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ECA" w:rsidRDefault="00260354" w:rsidP="00DA0B26">
      <w:pPr>
        <w:pStyle w:val="BodyText"/>
        <w:overflowPunct w:val="0"/>
        <w:ind w:right="-142"/>
        <w:jc w:val="both"/>
      </w:pPr>
      <w:r>
        <w:rPr>
          <w:noProof/>
        </w:rPr>
        <mc:AlternateContent>
          <mc:Choice Requires="wps">
            <w:drawing>
              <wp:anchor distT="0" distB="0" distL="114300" distR="114300" simplePos="0" relativeHeight="251659264" behindDoc="0" locked="0" layoutInCell="1" allowOverlap="1">
                <wp:simplePos x="0" y="0"/>
                <wp:positionH relativeFrom="column">
                  <wp:posOffset>3114040</wp:posOffset>
                </wp:positionH>
                <wp:positionV relativeFrom="paragraph">
                  <wp:posOffset>839470</wp:posOffset>
                </wp:positionV>
                <wp:extent cx="2693670" cy="602615"/>
                <wp:effectExtent l="0" t="0" r="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EF8" w:rsidRPr="006B0ECA" w:rsidRDefault="00F26EF8">
                            <w:pPr>
                              <w:rPr>
                                <w:b/>
                                <w:color w:val="FFFFFF" w:themeColor="background1"/>
                                <w:sz w:val="40"/>
                                <w:szCs w:val="40"/>
                              </w:rPr>
                            </w:pPr>
                            <w:r w:rsidRPr="006B0ECA">
                              <w:rPr>
                                <w:b/>
                                <w:color w:val="FFFFFF" w:themeColor="background1"/>
                                <w:sz w:val="40"/>
                                <w:szCs w:val="40"/>
                              </w:rPr>
                              <w:t>ACT 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F26EF8" w:rsidRPr="006B0ECA" w:rsidRDefault="00F26EF8">
                      <w:pPr>
                        <w:rPr>
                          <w:b/>
                          <w:color w:val="FFFFFF" w:themeColor="background1"/>
                          <w:sz w:val="40"/>
                          <w:szCs w:val="40"/>
                        </w:rPr>
                      </w:pPr>
                      <w:r w:rsidRPr="006B0ECA">
                        <w:rPr>
                          <w:b/>
                          <w:color w:val="FFFFFF" w:themeColor="background1"/>
                          <w:sz w:val="40"/>
                          <w:szCs w:val="40"/>
                        </w:rPr>
                        <w:t>ACT REVENUE OFFICE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EF8" w:rsidRPr="00D908F9" w:rsidRDefault="00F26EF8" w:rsidP="00391CB7">
                            <w:pPr>
                              <w:pStyle w:val="Header"/>
                              <w:tabs>
                                <w:tab w:val="clear" w:pos="4513"/>
                              </w:tabs>
                              <w:jc w:val="both"/>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F26EF8" w:rsidRPr="00D908F9" w:rsidRDefault="00F26EF8" w:rsidP="00391CB7">
                      <w:pPr>
                        <w:pStyle w:val="Header"/>
                        <w:tabs>
                          <w:tab w:val="clear" w:pos="4513"/>
                        </w:tabs>
                        <w:jc w:val="both"/>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extent cx="9480430" cy="21815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tretch>
                      <a:fillRect/>
                    </a:stretch>
                  </pic:blipFill>
                  <pic:spPr bwMode="auto">
                    <a:xfrm>
                      <a:off x="0" y="0"/>
                      <a:ext cx="9504171"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330"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271"/>
      </w:tblGrid>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44A8D" w:rsidP="00AD4741">
            <w:pPr>
              <w:jc w:val="both"/>
              <w:rPr>
                <w:b/>
                <w:lang w:eastAsia="en-US"/>
              </w:rPr>
            </w:pPr>
            <w:r>
              <w:rPr>
                <w:b/>
                <w:lang w:eastAsia="en-US"/>
              </w:rPr>
              <w:t>REVENUE CIRCULAR PTA0</w:t>
            </w:r>
            <w:r w:rsidR="00181766">
              <w:rPr>
                <w:b/>
                <w:lang w:eastAsia="en-US"/>
              </w:rPr>
              <w:t>21</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042012" w:rsidRDefault="00181766" w:rsidP="00181766">
            <w:pPr>
              <w:jc w:val="both"/>
              <w:rPr>
                <w:lang w:eastAsia="en-US"/>
              </w:rPr>
            </w:pPr>
            <w:r>
              <w:rPr>
                <w:lang w:eastAsia="en-US"/>
              </w:rPr>
              <w:t xml:space="preserve">Exemption for </w:t>
            </w:r>
            <w:r w:rsidR="00600611">
              <w:rPr>
                <w:lang w:eastAsia="en-US"/>
              </w:rPr>
              <w:t xml:space="preserve">Contractors </w:t>
            </w:r>
            <w:r>
              <w:rPr>
                <w:lang w:eastAsia="en-US"/>
              </w:rPr>
              <w:t>Ordinarily Rendering Services to the Public</w:t>
            </w:r>
            <w:r w:rsidR="00042012">
              <w:rPr>
                <w:lang w:eastAsia="en-US"/>
              </w:rPr>
              <w:t xml:space="preserve"> </w:t>
            </w:r>
          </w:p>
          <w:p w:rsidR="00F44A8D" w:rsidRPr="00404085" w:rsidRDefault="00F44A8D" w:rsidP="00181766">
            <w:pPr>
              <w:jc w:val="both"/>
              <w:rPr>
                <w:lang w:eastAsia="en-US"/>
              </w:rPr>
            </w:pPr>
            <w:r w:rsidRPr="00F44A8D">
              <w:rPr>
                <w:i/>
                <w:lang w:eastAsia="en-US"/>
              </w:rPr>
              <w:t>Payroll Tax Act 2011</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AD4741">
            <w:pPr>
              <w:jc w:val="both"/>
              <w:rPr>
                <w:lang w:eastAsia="en-US"/>
              </w:rPr>
            </w:pPr>
            <w:r>
              <w:rPr>
                <w:lang w:eastAsia="en-US"/>
              </w:rPr>
              <w:t xml:space="preserve">Issue Date: </w:t>
            </w:r>
            <w:r w:rsidR="00600611">
              <w:rPr>
                <w:lang w:eastAsia="en-US"/>
              </w:rPr>
              <w:t>30 June 2011</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AD4741">
            <w:pPr>
              <w:jc w:val="both"/>
            </w:pPr>
            <w:r>
              <w:t>Status: Current</w:t>
            </w:r>
            <w:r w:rsidR="00BB7D19">
              <w:t xml:space="preserve"> – Effective 1 July 201</w:t>
            </w:r>
            <w:r w:rsidR="00600611">
              <w:t>1</w:t>
            </w:r>
            <w:r w:rsidR="00260354">
              <w:t xml:space="preserve"> to 1 July 2019</w:t>
            </w:r>
          </w:p>
        </w:tc>
      </w:tr>
      <w:tr w:rsidR="00310E54"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AD4741">
            <w:pPr>
              <w:jc w:val="both"/>
            </w:pPr>
            <w:r>
              <w:t>Previous Circular: PT</w:t>
            </w:r>
            <w:r w:rsidR="00600611">
              <w:t>X0</w:t>
            </w:r>
            <w:r w:rsidR="00181766">
              <w:t>21</w:t>
            </w:r>
          </w:p>
        </w:tc>
      </w:tr>
    </w:tbl>
    <w:p w:rsidR="00F44A8D" w:rsidRPr="00AD4741" w:rsidRDefault="00BB7D19" w:rsidP="00BB7D19">
      <w:pPr>
        <w:pStyle w:val="Heading1"/>
        <w:spacing w:before="120" w:after="120" w:line="240" w:lineRule="auto"/>
        <w:ind w:left="1701" w:hanging="567"/>
        <w:jc w:val="both"/>
      </w:pPr>
      <w:r>
        <w:t>Preamble</w:t>
      </w:r>
    </w:p>
    <w:p w:rsidR="00181766" w:rsidRDefault="00181766" w:rsidP="00F26EF8">
      <w:pPr>
        <w:adjustRightInd w:val="0"/>
        <w:spacing w:before="120" w:after="120"/>
        <w:ind w:left="1134"/>
        <w:jc w:val="both"/>
        <w:rPr>
          <w:rFonts w:cs="Arial"/>
        </w:rPr>
      </w:pPr>
      <w:r w:rsidRPr="0066664F">
        <w:rPr>
          <w:rFonts w:cs="Arial"/>
        </w:rPr>
        <w:t xml:space="preserve">The </w:t>
      </w:r>
      <w:r w:rsidRPr="0066664F">
        <w:rPr>
          <w:rFonts w:cs="Arial"/>
          <w:i/>
        </w:rPr>
        <w:t>Payroll Tax Act 2011</w:t>
      </w:r>
      <w:r w:rsidRPr="0066664F">
        <w:rPr>
          <w:rFonts w:cs="Arial"/>
        </w:rPr>
        <w:t xml:space="preserve"> (the Act), which </w:t>
      </w:r>
      <w:r w:rsidRPr="00844E24">
        <w:rPr>
          <w:rFonts w:cs="Arial"/>
        </w:rPr>
        <w:t>commenced on 1 July 2011</w:t>
      </w:r>
      <w:r w:rsidRPr="0066664F">
        <w:rPr>
          <w:rFonts w:cs="Arial"/>
        </w:rPr>
        <w:t xml:space="preserve">, rewrites the </w:t>
      </w:r>
      <w:r w:rsidRPr="000715D3">
        <w:rPr>
          <w:rFonts w:cs="Arial"/>
          <w:i/>
        </w:rPr>
        <w:t>Payroll Tax Act 1987</w:t>
      </w:r>
      <w:r w:rsidRPr="0066664F">
        <w:rPr>
          <w:rFonts w:cs="Arial"/>
        </w:rPr>
        <w:t xml:space="preserve"> (the 1987 Act) and harmonises the payroll tax legislation </w:t>
      </w:r>
      <w:r>
        <w:rPr>
          <w:rFonts w:cs="Arial"/>
        </w:rPr>
        <w:t>in the Australian jurisdictions.</w:t>
      </w:r>
    </w:p>
    <w:p w:rsidR="00181766" w:rsidRPr="000F4314" w:rsidRDefault="00181766" w:rsidP="00F26EF8">
      <w:pPr>
        <w:tabs>
          <w:tab w:val="left" w:pos="1701"/>
        </w:tabs>
        <w:adjustRightInd w:val="0"/>
        <w:spacing w:before="120" w:after="120"/>
        <w:ind w:left="1701" w:hanging="567"/>
        <w:jc w:val="both"/>
        <w:rPr>
          <w:color w:val="000000"/>
        </w:rPr>
      </w:pPr>
      <w:r w:rsidRPr="000F4314">
        <w:rPr>
          <w:color w:val="000000"/>
        </w:rPr>
        <w:t>1.</w:t>
      </w:r>
      <w:r w:rsidRPr="000F4314">
        <w:rPr>
          <w:color w:val="000000"/>
        </w:rPr>
        <w:tab/>
        <w:t>Parties to a ‘</w:t>
      </w:r>
      <w:r>
        <w:rPr>
          <w:color w:val="000000"/>
        </w:rPr>
        <w:t>relevant</w:t>
      </w:r>
      <w:r w:rsidRPr="000F4314">
        <w:rPr>
          <w:color w:val="000000"/>
        </w:rPr>
        <w:t xml:space="preserve"> contract’ are deemed to be employers and employees (section 33 and 34 of the </w:t>
      </w:r>
      <w:r w:rsidRPr="000F4314">
        <w:t>Act</w:t>
      </w:r>
      <w:r w:rsidRPr="000F4314">
        <w:rPr>
          <w:color w:val="000000"/>
        </w:rPr>
        <w:t xml:space="preserve">) and payments made under a contract are deemed to be wages (section 35 of the Act).  Deemed wages are subject to payroll tax under section 36 of the Act. </w:t>
      </w:r>
    </w:p>
    <w:p w:rsidR="00181766" w:rsidRPr="000F4314" w:rsidRDefault="00181766" w:rsidP="00F26EF8">
      <w:pPr>
        <w:tabs>
          <w:tab w:val="left" w:pos="1701"/>
        </w:tabs>
        <w:adjustRightInd w:val="0"/>
        <w:spacing w:before="120" w:after="120"/>
        <w:ind w:left="1701" w:hanging="567"/>
        <w:jc w:val="both"/>
        <w:rPr>
          <w:color w:val="000000"/>
        </w:rPr>
      </w:pPr>
      <w:r w:rsidRPr="000F4314">
        <w:rPr>
          <w:color w:val="000000"/>
        </w:rPr>
        <w:t>2.</w:t>
      </w:r>
      <w:r w:rsidRPr="000F4314">
        <w:rPr>
          <w:color w:val="000000"/>
        </w:rPr>
        <w:tab/>
        <w:t>While most contracts for the provision of services come within the meaning of ‘</w:t>
      </w:r>
      <w:r>
        <w:rPr>
          <w:color w:val="000000"/>
        </w:rPr>
        <w:t>relevant</w:t>
      </w:r>
      <w:r w:rsidRPr="000F4314">
        <w:rPr>
          <w:color w:val="000000"/>
        </w:rPr>
        <w:t xml:space="preserve"> contract’ under section 32 of the Act, certain types of contracts are specifically excluded from the definition of ‘</w:t>
      </w:r>
      <w:r>
        <w:rPr>
          <w:color w:val="000000"/>
        </w:rPr>
        <w:t>relevant</w:t>
      </w:r>
      <w:r w:rsidRPr="000F4314">
        <w:rPr>
          <w:color w:val="000000"/>
        </w:rPr>
        <w:t xml:space="preserve"> contract’.  </w:t>
      </w:r>
      <w:r w:rsidRPr="000F4314">
        <w:t>A contract is not a ‘</w:t>
      </w:r>
      <w:r>
        <w:t>relevant</w:t>
      </w:r>
      <w:r w:rsidRPr="000F4314">
        <w:t xml:space="preserve"> contract’ if the Commissioner for ACT Revenue (the Commissioner) is satisfied that the person who performed the services under the contract ordinarily performs services of that kind to the general public in that financial year. </w:t>
      </w:r>
    </w:p>
    <w:p w:rsidR="00181766" w:rsidRPr="000F4314" w:rsidRDefault="00181766" w:rsidP="00F26EF8">
      <w:pPr>
        <w:tabs>
          <w:tab w:val="left" w:pos="1701"/>
        </w:tabs>
        <w:adjustRightInd w:val="0"/>
        <w:spacing w:before="120" w:after="120"/>
        <w:ind w:left="1701" w:hanging="567"/>
        <w:jc w:val="both"/>
      </w:pPr>
      <w:r w:rsidRPr="000F4314">
        <w:t>3.</w:t>
      </w:r>
      <w:r w:rsidRPr="000F4314">
        <w:tab/>
        <w:t>This circular provides a non-exhaustive list of factors that the Commissioner takes into consideration in exercising his or her discretion under section 32(2</w:t>
      </w:r>
      <w:proofErr w:type="gramStart"/>
      <w:r w:rsidRPr="000F4314">
        <w:t>)(</w:t>
      </w:r>
      <w:proofErr w:type="gramEnd"/>
      <w:r w:rsidRPr="000F4314">
        <w:t xml:space="preserve">b)(ii) of the Act. </w:t>
      </w:r>
    </w:p>
    <w:p w:rsidR="00F44A8D" w:rsidRPr="00AD4741" w:rsidRDefault="00F44A8D" w:rsidP="00F26EF8">
      <w:pPr>
        <w:pStyle w:val="Heading1"/>
        <w:spacing w:before="60" w:after="60" w:line="240" w:lineRule="auto"/>
        <w:ind w:left="1134" w:firstLine="0"/>
        <w:jc w:val="both"/>
        <w:rPr>
          <w:rFonts w:asciiTheme="minorHAnsi" w:hAnsiTheme="minorHAnsi"/>
        </w:rPr>
      </w:pPr>
      <w:r w:rsidRPr="00AD4741">
        <w:rPr>
          <w:rFonts w:asciiTheme="minorHAnsi" w:hAnsiTheme="minorHAnsi"/>
        </w:rPr>
        <w:t>Circular</w:t>
      </w:r>
    </w:p>
    <w:p w:rsidR="00181766" w:rsidRPr="00181766" w:rsidRDefault="00181766" w:rsidP="00F26EF8">
      <w:pPr>
        <w:spacing w:before="60" w:after="60"/>
        <w:ind w:left="1134"/>
        <w:jc w:val="both"/>
        <w:outlineLvl w:val="1"/>
        <w:rPr>
          <w:b/>
        </w:rPr>
      </w:pPr>
      <w:r w:rsidRPr="00181766">
        <w:rPr>
          <w:b/>
        </w:rPr>
        <w:t>Exemption for Contractors Ordinarily Rendering Services to the Public</w:t>
      </w:r>
    </w:p>
    <w:p w:rsidR="00181766" w:rsidRPr="000F4314" w:rsidRDefault="00181766" w:rsidP="00F26EF8">
      <w:pPr>
        <w:adjustRightInd w:val="0"/>
        <w:spacing w:before="120" w:after="120"/>
        <w:ind w:left="1701" w:hanging="567"/>
        <w:jc w:val="both"/>
      </w:pPr>
      <w:r w:rsidRPr="000F4314">
        <w:t>4.</w:t>
      </w:r>
      <w:r w:rsidRPr="000F4314">
        <w:tab/>
        <w:t>In exercising the discretion under section 32(2</w:t>
      </w:r>
      <w:proofErr w:type="gramStart"/>
      <w:r w:rsidRPr="000F4314">
        <w:t>)(</w:t>
      </w:r>
      <w:proofErr w:type="gramEnd"/>
      <w:r w:rsidRPr="000F4314">
        <w:t>b)(ii) of the Act, the Commissioner needs to be satisfied that the contractor provides:</w:t>
      </w:r>
    </w:p>
    <w:p w:rsidR="00181766" w:rsidRPr="000F4314" w:rsidRDefault="00F26EF8" w:rsidP="00F26EF8">
      <w:pPr>
        <w:adjustRightInd w:val="0"/>
        <w:spacing w:before="120" w:after="120"/>
        <w:ind w:left="2552" w:hanging="709"/>
        <w:jc w:val="both"/>
      </w:pPr>
      <w:r>
        <w:t>(a)</w:t>
      </w:r>
      <w:r>
        <w:tab/>
      </w:r>
      <w:r w:rsidR="00181766" w:rsidRPr="000F4314">
        <w:t>th</w:t>
      </w:r>
      <w:bookmarkStart w:id="0" w:name="_GoBack"/>
      <w:bookmarkEnd w:id="0"/>
      <w:r w:rsidR="00181766" w:rsidRPr="000F4314">
        <w:t>e services in the course of conducting a</w:t>
      </w:r>
      <w:r w:rsidR="00042012">
        <w:t xml:space="preserve"> genuine independent business; </w:t>
      </w:r>
      <w:r w:rsidR="00181766" w:rsidRPr="000F4314">
        <w:t>and</w:t>
      </w:r>
    </w:p>
    <w:p w:rsidR="00181766" w:rsidRPr="000F4314" w:rsidRDefault="00181766" w:rsidP="00F26EF8">
      <w:pPr>
        <w:adjustRightInd w:val="0"/>
        <w:spacing w:before="120" w:after="120"/>
        <w:ind w:left="2552" w:hanging="709"/>
        <w:jc w:val="both"/>
      </w:pPr>
      <w:r w:rsidRPr="000F4314">
        <w:t>(b)</w:t>
      </w:r>
      <w:r w:rsidRPr="000F4314">
        <w:tab/>
        <w:t xml:space="preserve">ordinarily renders those services to the general public. </w:t>
      </w:r>
    </w:p>
    <w:p w:rsidR="00181766" w:rsidRPr="00600611" w:rsidRDefault="00F26EF8" w:rsidP="00042012">
      <w:pPr>
        <w:adjustRightInd w:val="0"/>
        <w:spacing w:before="120" w:after="120"/>
        <w:ind w:left="1701" w:hanging="567"/>
        <w:jc w:val="both"/>
        <w:rPr>
          <w:b/>
        </w:rPr>
      </w:pPr>
      <w:r w:rsidRPr="000F4314">
        <w:t>5.</w:t>
      </w:r>
      <w:r w:rsidRPr="000F4314">
        <w:tab/>
        <w:t>The mere fact that a contractor works on a succession of jobs for different principals does not mean that these criteria are satisfied.  It is necessary to consider the steps undertaken by the contractor to create an independent business (</w:t>
      </w:r>
      <w:proofErr w:type="spellStart"/>
      <w:r w:rsidRPr="000F4314">
        <w:t>i</w:t>
      </w:r>
      <w:proofErr w:type="spellEnd"/>
      <w:r w:rsidRPr="000F4314">
        <w:t xml:space="preserve">. e.  </w:t>
      </w:r>
      <w:proofErr w:type="gramStart"/>
      <w:r w:rsidRPr="000F4314">
        <w:t>to</w:t>
      </w:r>
      <w:proofErr w:type="gramEnd"/>
      <w:r w:rsidRPr="000F4314">
        <w:t xml:space="preserve"> obtain work from clients other than the principal in question). </w:t>
      </w:r>
    </w:p>
    <w:p w:rsidR="00F44A8D" w:rsidRDefault="00F44A8D" w:rsidP="00F26EF8">
      <w:pPr>
        <w:pStyle w:val="Heading2"/>
        <w:ind w:left="1701"/>
        <w:jc w:val="both"/>
        <w:sectPr w:rsidR="00F44A8D" w:rsidSect="00260354">
          <w:headerReference w:type="default" r:id="rId10"/>
          <w:footerReference w:type="default" r:id="rId11"/>
          <w:footerReference w:type="first" r:id="rId12"/>
          <w:pgSz w:w="11910" w:h="16840" w:code="9"/>
          <w:pgMar w:top="-9" w:right="1420" w:bottom="1100" w:left="0" w:header="0" w:footer="318" w:gutter="0"/>
          <w:cols w:space="720"/>
          <w:titlePg/>
          <w:docGrid w:linePitch="326"/>
        </w:sectPr>
      </w:pPr>
    </w:p>
    <w:p w:rsidR="00F26EF8" w:rsidRPr="000F4314" w:rsidRDefault="00F26EF8" w:rsidP="00F26EF8">
      <w:pPr>
        <w:adjustRightInd w:val="0"/>
        <w:spacing w:before="120" w:after="120"/>
        <w:ind w:left="1418" w:hanging="567"/>
        <w:jc w:val="both"/>
      </w:pPr>
      <w:r w:rsidRPr="000F4314">
        <w:lastRenderedPageBreak/>
        <w:t>6.</w:t>
      </w:r>
      <w:r w:rsidRPr="000F4314">
        <w:tab/>
        <w:t>A principal may apply to the Commissioner for a determination of an exemption under section 32(2</w:t>
      </w:r>
      <w:proofErr w:type="gramStart"/>
      <w:r w:rsidRPr="000F4314">
        <w:t>)(</w:t>
      </w:r>
      <w:proofErr w:type="gramEnd"/>
      <w:r w:rsidRPr="000F4314">
        <w:t xml:space="preserve">b)(ii) of the Act. </w:t>
      </w:r>
    </w:p>
    <w:p w:rsidR="00F26EF8" w:rsidRPr="000F4314" w:rsidRDefault="00F26EF8" w:rsidP="00F26EF8">
      <w:pPr>
        <w:adjustRightInd w:val="0"/>
        <w:spacing w:before="120" w:after="120"/>
        <w:ind w:left="1418" w:hanging="567"/>
        <w:jc w:val="both"/>
      </w:pPr>
      <w:r w:rsidRPr="000F4314">
        <w:t>7.</w:t>
      </w:r>
      <w:r w:rsidRPr="000F4314">
        <w:tab/>
        <w:t>In making a determination, the Commissioner will review the contractor’s business and consider factors including (but not limited to):</w:t>
      </w:r>
    </w:p>
    <w:p w:rsidR="00F26EF8" w:rsidRPr="000F4314" w:rsidRDefault="00F26EF8" w:rsidP="00F26EF8">
      <w:pPr>
        <w:widowControl/>
        <w:numPr>
          <w:ilvl w:val="0"/>
          <w:numId w:val="4"/>
        </w:numPr>
        <w:tabs>
          <w:tab w:val="clear" w:pos="1440"/>
        </w:tabs>
        <w:suppressAutoHyphens w:val="0"/>
        <w:adjustRightInd w:val="0"/>
        <w:spacing w:before="60" w:after="60"/>
        <w:ind w:left="2126" w:hanging="567"/>
        <w:jc w:val="both"/>
        <w:textAlignment w:val="auto"/>
      </w:pPr>
      <w:r w:rsidRPr="000F4314">
        <w:t>the use of a business name by the contractor;</w:t>
      </w:r>
    </w:p>
    <w:p w:rsidR="00F26EF8" w:rsidRPr="000F4314" w:rsidRDefault="00F26EF8" w:rsidP="00F26EF8">
      <w:pPr>
        <w:widowControl/>
        <w:numPr>
          <w:ilvl w:val="0"/>
          <w:numId w:val="4"/>
        </w:numPr>
        <w:tabs>
          <w:tab w:val="clear" w:pos="1440"/>
        </w:tabs>
        <w:suppressAutoHyphens w:val="0"/>
        <w:adjustRightInd w:val="0"/>
        <w:spacing w:before="60" w:after="60"/>
        <w:ind w:left="2126" w:hanging="567"/>
        <w:jc w:val="both"/>
        <w:textAlignment w:val="auto"/>
      </w:pPr>
      <w:r w:rsidRPr="000F4314">
        <w:t>the extent and nature of advertising undertaken by the contractor;</w:t>
      </w:r>
    </w:p>
    <w:p w:rsidR="00F26EF8" w:rsidRPr="000F4314" w:rsidRDefault="00F26EF8" w:rsidP="00F26EF8">
      <w:pPr>
        <w:widowControl/>
        <w:numPr>
          <w:ilvl w:val="0"/>
          <w:numId w:val="4"/>
        </w:numPr>
        <w:tabs>
          <w:tab w:val="clear" w:pos="1440"/>
        </w:tabs>
        <w:suppressAutoHyphens w:val="0"/>
        <w:adjustRightInd w:val="0"/>
        <w:spacing w:before="60" w:after="60"/>
        <w:ind w:left="2126" w:hanging="567"/>
        <w:jc w:val="both"/>
        <w:textAlignment w:val="auto"/>
      </w:pPr>
      <w:r w:rsidRPr="000F4314">
        <w:t>the range of clients serviced by the contractor;</w:t>
      </w:r>
    </w:p>
    <w:p w:rsidR="00F26EF8" w:rsidRPr="000F4314" w:rsidRDefault="00F26EF8" w:rsidP="00F26EF8">
      <w:pPr>
        <w:widowControl/>
        <w:numPr>
          <w:ilvl w:val="0"/>
          <w:numId w:val="4"/>
        </w:numPr>
        <w:tabs>
          <w:tab w:val="clear" w:pos="1440"/>
        </w:tabs>
        <w:suppressAutoHyphens w:val="0"/>
        <w:adjustRightInd w:val="0"/>
        <w:spacing w:before="60" w:after="60"/>
        <w:ind w:left="2126" w:hanging="567"/>
        <w:jc w:val="both"/>
        <w:textAlignment w:val="auto"/>
      </w:pPr>
      <w:r w:rsidRPr="000F4314">
        <w:t>the extent and nature of plant and equipment provided by the contractor in execution of the services;</w:t>
      </w:r>
    </w:p>
    <w:p w:rsidR="00F26EF8" w:rsidRPr="000F4314" w:rsidRDefault="00F26EF8" w:rsidP="00F26EF8">
      <w:pPr>
        <w:widowControl/>
        <w:numPr>
          <w:ilvl w:val="0"/>
          <w:numId w:val="4"/>
        </w:numPr>
        <w:tabs>
          <w:tab w:val="clear" w:pos="1440"/>
        </w:tabs>
        <w:suppressAutoHyphens w:val="0"/>
        <w:adjustRightInd w:val="0"/>
        <w:spacing w:before="60" w:after="60"/>
        <w:ind w:left="2126" w:hanging="567"/>
        <w:jc w:val="both"/>
        <w:textAlignment w:val="auto"/>
      </w:pPr>
      <w:r w:rsidRPr="000F4314">
        <w:t>the engagement of staff or sub-contractors by the contractor;</w:t>
      </w:r>
    </w:p>
    <w:p w:rsidR="00F26EF8" w:rsidRPr="000F4314" w:rsidRDefault="00F26EF8" w:rsidP="00F26EF8">
      <w:pPr>
        <w:widowControl/>
        <w:numPr>
          <w:ilvl w:val="0"/>
          <w:numId w:val="4"/>
        </w:numPr>
        <w:tabs>
          <w:tab w:val="clear" w:pos="1440"/>
        </w:tabs>
        <w:suppressAutoHyphens w:val="0"/>
        <w:adjustRightInd w:val="0"/>
        <w:spacing w:before="60" w:after="60"/>
        <w:ind w:left="2126" w:hanging="567"/>
        <w:jc w:val="both"/>
        <w:textAlignment w:val="auto"/>
      </w:pPr>
      <w:r w:rsidRPr="000F4314">
        <w:t>the use of business premises by the contractor;</w:t>
      </w:r>
    </w:p>
    <w:p w:rsidR="00F26EF8" w:rsidRPr="000F4314" w:rsidRDefault="00F26EF8" w:rsidP="00F26EF8">
      <w:pPr>
        <w:widowControl/>
        <w:numPr>
          <w:ilvl w:val="0"/>
          <w:numId w:val="4"/>
        </w:numPr>
        <w:tabs>
          <w:tab w:val="clear" w:pos="1440"/>
        </w:tabs>
        <w:suppressAutoHyphens w:val="0"/>
        <w:adjustRightInd w:val="0"/>
        <w:spacing w:before="60" w:after="60"/>
        <w:ind w:left="2126" w:hanging="567"/>
        <w:jc w:val="both"/>
        <w:textAlignment w:val="auto"/>
      </w:pPr>
      <w:r w:rsidRPr="000F4314">
        <w:t>the method of operation of the business (such as tendering for jobs);</w:t>
      </w:r>
    </w:p>
    <w:p w:rsidR="00F26EF8" w:rsidRPr="000F4314" w:rsidRDefault="00F26EF8" w:rsidP="00F26EF8">
      <w:pPr>
        <w:widowControl/>
        <w:numPr>
          <w:ilvl w:val="0"/>
          <w:numId w:val="4"/>
        </w:numPr>
        <w:tabs>
          <w:tab w:val="clear" w:pos="1440"/>
        </w:tabs>
        <w:suppressAutoHyphens w:val="0"/>
        <w:adjustRightInd w:val="0"/>
        <w:spacing w:before="60" w:after="60"/>
        <w:ind w:left="2126" w:hanging="567"/>
        <w:jc w:val="both"/>
        <w:textAlignment w:val="auto"/>
      </w:pPr>
      <w:r w:rsidRPr="000F4314">
        <w:t>the potential for entrepreneurial risk;</w:t>
      </w:r>
    </w:p>
    <w:p w:rsidR="00F26EF8" w:rsidRPr="000F4314" w:rsidRDefault="00F26EF8" w:rsidP="00F26EF8">
      <w:pPr>
        <w:widowControl/>
        <w:numPr>
          <w:ilvl w:val="0"/>
          <w:numId w:val="4"/>
        </w:numPr>
        <w:tabs>
          <w:tab w:val="clear" w:pos="1440"/>
        </w:tabs>
        <w:suppressAutoHyphens w:val="0"/>
        <w:adjustRightInd w:val="0"/>
        <w:spacing w:before="60" w:after="60"/>
        <w:ind w:left="2126" w:hanging="567"/>
        <w:jc w:val="both"/>
        <w:textAlignment w:val="auto"/>
      </w:pPr>
      <w:proofErr w:type="gramStart"/>
      <w:r w:rsidRPr="000F4314">
        <w:t>the</w:t>
      </w:r>
      <w:proofErr w:type="gramEnd"/>
      <w:r w:rsidRPr="000F4314">
        <w:t xml:space="preserve"> nature of contracts entered into (e.g.  formal long-term or informal rolled-over contracts);</w:t>
      </w:r>
    </w:p>
    <w:p w:rsidR="00F26EF8" w:rsidRPr="000F4314" w:rsidRDefault="00F26EF8" w:rsidP="00F26EF8">
      <w:pPr>
        <w:widowControl/>
        <w:numPr>
          <w:ilvl w:val="0"/>
          <w:numId w:val="4"/>
        </w:numPr>
        <w:tabs>
          <w:tab w:val="clear" w:pos="1440"/>
        </w:tabs>
        <w:suppressAutoHyphens w:val="0"/>
        <w:adjustRightInd w:val="0"/>
        <w:spacing w:before="60" w:after="60"/>
        <w:ind w:left="2126" w:hanging="567"/>
        <w:jc w:val="both"/>
        <w:textAlignment w:val="auto"/>
      </w:pPr>
      <w:r w:rsidRPr="000F4314">
        <w:t>the history of the formation of the contractor’s business;</w:t>
      </w:r>
    </w:p>
    <w:p w:rsidR="00F26EF8" w:rsidRPr="000F4314" w:rsidRDefault="00F26EF8" w:rsidP="00F26EF8">
      <w:pPr>
        <w:widowControl/>
        <w:numPr>
          <w:ilvl w:val="0"/>
          <w:numId w:val="4"/>
        </w:numPr>
        <w:tabs>
          <w:tab w:val="clear" w:pos="1440"/>
        </w:tabs>
        <w:suppressAutoHyphens w:val="0"/>
        <w:adjustRightInd w:val="0"/>
        <w:spacing w:before="60" w:after="60"/>
        <w:ind w:left="2126" w:hanging="567"/>
        <w:jc w:val="both"/>
        <w:textAlignment w:val="auto"/>
      </w:pPr>
      <w:r w:rsidRPr="000F4314">
        <w:t>how the contractor won the contract;</w:t>
      </w:r>
    </w:p>
    <w:p w:rsidR="00F26EF8" w:rsidRPr="000F4314" w:rsidRDefault="00F26EF8" w:rsidP="00F26EF8">
      <w:pPr>
        <w:widowControl/>
        <w:numPr>
          <w:ilvl w:val="0"/>
          <w:numId w:val="4"/>
        </w:numPr>
        <w:tabs>
          <w:tab w:val="clear" w:pos="1440"/>
        </w:tabs>
        <w:suppressAutoHyphens w:val="0"/>
        <w:adjustRightInd w:val="0"/>
        <w:spacing w:before="60" w:after="60"/>
        <w:ind w:left="2126" w:hanging="567"/>
        <w:jc w:val="both"/>
        <w:textAlignment w:val="auto"/>
      </w:pPr>
      <w:r w:rsidRPr="000F4314">
        <w:t>whether work is performed on separate contracts concurrently;</w:t>
      </w:r>
    </w:p>
    <w:p w:rsidR="00F26EF8" w:rsidRPr="000F4314" w:rsidRDefault="00F26EF8" w:rsidP="00F26EF8">
      <w:pPr>
        <w:widowControl/>
        <w:numPr>
          <w:ilvl w:val="0"/>
          <w:numId w:val="4"/>
        </w:numPr>
        <w:tabs>
          <w:tab w:val="clear" w:pos="1440"/>
        </w:tabs>
        <w:suppressAutoHyphens w:val="0"/>
        <w:adjustRightInd w:val="0"/>
        <w:spacing w:before="60" w:after="60"/>
        <w:ind w:left="2126" w:hanging="567"/>
        <w:jc w:val="both"/>
        <w:textAlignment w:val="auto"/>
      </w:pPr>
      <w:r w:rsidRPr="000F4314">
        <w:t>the nature of the contractor’s business and the type of services provided;</w:t>
      </w:r>
    </w:p>
    <w:p w:rsidR="00F26EF8" w:rsidRPr="000F4314" w:rsidRDefault="00F26EF8" w:rsidP="00F26EF8">
      <w:pPr>
        <w:widowControl/>
        <w:numPr>
          <w:ilvl w:val="0"/>
          <w:numId w:val="4"/>
        </w:numPr>
        <w:tabs>
          <w:tab w:val="clear" w:pos="1440"/>
        </w:tabs>
        <w:suppressAutoHyphens w:val="0"/>
        <w:adjustRightInd w:val="0"/>
        <w:spacing w:before="60" w:after="60"/>
        <w:ind w:left="2126" w:hanging="567"/>
        <w:jc w:val="both"/>
        <w:textAlignment w:val="auto"/>
      </w:pPr>
      <w:r w:rsidRPr="000F4314">
        <w:t>whether the contractor bears the cost and responsibility for faulty materials or workmanship;</w:t>
      </w:r>
    </w:p>
    <w:p w:rsidR="00F26EF8" w:rsidRPr="000F4314" w:rsidRDefault="00F26EF8" w:rsidP="00F26EF8">
      <w:pPr>
        <w:widowControl/>
        <w:numPr>
          <w:ilvl w:val="0"/>
          <w:numId w:val="4"/>
        </w:numPr>
        <w:tabs>
          <w:tab w:val="clear" w:pos="1440"/>
        </w:tabs>
        <w:suppressAutoHyphens w:val="0"/>
        <w:adjustRightInd w:val="0"/>
        <w:spacing w:before="60" w:after="60"/>
        <w:ind w:left="2126" w:hanging="567"/>
        <w:jc w:val="both"/>
        <w:textAlignment w:val="auto"/>
      </w:pPr>
      <w:r w:rsidRPr="000F4314">
        <w:t>whether the contractor quotes competitively for jobs on an all inclusive basis (all labour and materials); and</w:t>
      </w:r>
    </w:p>
    <w:p w:rsidR="00F26EF8" w:rsidRPr="000F4314" w:rsidRDefault="00F26EF8" w:rsidP="00F26EF8">
      <w:pPr>
        <w:widowControl/>
        <w:numPr>
          <w:ilvl w:val="0"/>
          <w:numId w:val="4"/>
        </w:numPr>
        <w:tabs>
          <w:tab w:val="clear" w:pos="1440"/>
        </w:tabs>
        <w:suppressAutoHyphens w:val="0"/>
        <w:adjustRightInd w:val="0"/>
        <w:spacing w:before="60" w:after="60"/>
        <w:ind w:left="2126" w:hanging="567"/>
        <w:jc w:val="both"/>
        <w:textAlignment w:val="auto"/>
      </w:pPr>
      <w:r w:rsidRPr="000F4314">
        <w:t xml:space="preserve">whether the contractor merely charges for services on an hourly rate and adds on the cost of materials. </w:t>
      </w:r>
    </w:p>
    <w:p w:rsidR="00F26EF8" w:rsidRPr="000F4314" w:rsidRDefault="00F26EF8" w:rsidP="00F26EF8">
      <w:pPr>
        <w:adjustRightInd w:val="0"/>
        <w:spacing w:before="120" w:after="120"/>
        <w:ind w:left="1418" w:hanging="567"/>
        <w:jc w:val="both"/>
      </w:pPr>
      <w:r w:rsidRPr="000F4314">
        <w:t>8.</w:t>
      </w:r>
      <w:r w:rsidRPr="000F4314">
        <w:tab/>
        <w:t>None of the above factors is conclusive on its own and other matters that are relevant to a decision will be considered by the Commissioner.  Further, the above is not an exhaustive list of factors that the Commissioner will take into account in exercising the discretion under section 32(2</w:t>
      </w:r>
      <w:proofErr w:type="gramStart"/>
      <w:r w:rsidRPr="000F4314">
        <w:t>)(</w:t>
      </w:r>
      <w:proofErr w:type="gramEnd"/>
      <w:r w:rsidRPr="000F4314">
        <w:t xml:space="preserve">b)(ii) of the Act and other matters that are relevant to a decision will also be considered. </w:t>
      </w:r>
    </w:p>
    <w:p w:rsidR="00F26EF8" w:rsidRPr="000F4314" w:rsidRDefault="00F26EF8" w:rsidP="00F26EF8">
      <w:pPr>
        <w:adjustRightInd w:val="0"/>
        <w:spacing w:before="60" w:after="60"/>
        <w:ind w:left="1418" w:hanging="567"/>
        <w:jc w:val="both"/>
      </w:pPr>
      <w:r w:rsidRPr="000F4314">
        <w:t>9.</w:t>
      </w:r>
      <w:r w:rsidRPr="000F4314">
        <w:tab/>
        <w:t>However, the Commissioner will accept that a contractor ordinarily renders services to the public generally where, in the financial year in which services were provided under the contract in question, the contractor provided services of that type to:</w:t>
      </w:r>
    </w:p>
    <w:p w:rsidR="00F26EF8" w:rsidRPr="000F4314" w:rsidRDefault="00F26EF8" w:rsidP="00F26EF8">
      <w:pPr>
        <w:widowControl/>
        <w:numPr>
          <w:ilvl w:val="0"/>
          <w:numId w:val="5"/>
        </w:numPr>
        <w:tabs>
          <w:tab w:val="clear" w:pos="1440"/>
        </w:tabs>
        <w:suppressAutoHyphens w:val="0"/>
        <w:adjustRightInd w:val="0"/>
        <w:ind w:left="2126" w:hanging="567"/>
        <w:jc w:val="both"/>
        <w:textAlignment w:val="auto"/>
      </w:pPr>
      <w:r w:rsidRPr="000F4314">
        <w:t>two or more principals (not being members of a group) during the financial year; and</w:t>
      </w:r>
    </w:p>
    <w:p w:rsidR="00F26EF8" w:rsidRPr="000F4314" w:rsidRDefault="00F26EF8" w:rsidP="00F26EF8">
      <w:pPr>
        <w:widowControl/>
        <w:numPr>
          <w:ilvl w:val="0"/>
          <w:numId w:val="5"/>
        </w:numPr>
        <w:tabs>
          <w:tab w:val="clear" w:pos="1440"/>
        </w:tabs>
        <w:suppressAutoHyphens w:val="0"/>
        <w:adjustRightInd w:val="0"/>
        <w:ind w:left="2126" w:hanging="567"/>
        <w:jc w:val="both"/>
        <w:textAlignment w:val="auto"/>
      </w:pPr>
      <w:r w:rsidRPr="000F4314">
        <w:t xml:space="preserve">the principal claiming the exemption for an average of 10 days or less per month (excluding the months in which no services were provided). </w:t>
      </w:r>
    </w:p>
    <w:p w:rsidR="00F26EF8" w:rsidRDefault="00F26EF8" w:rsidP="00F26EF8">
      <w:pPr>
        <w:adjustRightInd w:val="0"/>
        <w:spacing w:before="120" w:after="120"/>
        <w:ind w:left="1418" w:hanging="567"/>
        <w:jc w:val="both"/>
      </w:pPr>
      <w:r w:rsidRPr="000F4314">
        <w:t>10.</w:t>
      </w:r>
      <w:r w:rsidRPr="000F4314">
        <w:tab/>
        <w:t>If a contractor who has supplied services under a contract to a principal in a particular financial year meets the above two criteria, the exemption in section 32</w:t>
      </w:r>
      <w:r>
        <w:t>(2</w:t>
      </w:r>
      <w:proofErr w:type="gramStart"/>
      <w:r>
        <w:t>)(</w:t>
      </w:r>
      <w:proofErr w:type="gramEnd"/>
      <w:r>
        <w:t xml:space="preserve">b)(ii) of the Act applies. </w:t>
      </w:r>
      <w:r w:rsidRPr="000F4314">
        <w:t xml:space="preserve">Under these circumstances, there is no need for the principal to obtain a determination from the Commissioner. </w:t>
      </w:r>
    </w:p>
    <w:p w:rsidR="00F26EF8" w:rsidRDefault="00F26EF8">
      <w:pPr>
        <w:widowControl/>
        <w:suppressAutoHyphens w:val="0"/>
        <w:autoSpaceDE/>
        <w:spacing w:after="200" w:line="276" w:lineRule="auto"/>
      </w:pPr>
      <w:r>
        <w:br w:type="page"/>
      </w:r>
    </w:p>
    <w:p w:rsidR="00F26EF8" w:rsidRDefault="00F26EF8" w:rsidP="00F26EF8">
      <w:pPr>
        <w:adjustRightInd w:val="0"/>
        <w:spacing w:before="120" w:after="120"/>
        <w:ind w:left="851"/>
        <w:jc w:val="both"/>
      </w:pPr>
      <w:r w:rsidRPr="00F26EF8">
        <w:rPr>
          <w:u w:val="single"/>
        </w:rPr>
        <w:lastRenderedPageBreak/>
        <w:t>Example 1</w:t>
      </w:r>
      <w:r w:rsidRPr="00F26EF8">
        <w:t xml:space="preserve">: </w:t>
      </w:r>
      <w:r w:rsidRPr="000F4314">
        <w:t>Michael is a computer programmer.  During the financial year, he provided services to Principal A and Principal B.  Under his contract for service with Principal A, he provided his services as follows during the financial year:</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6"/>
        <w:gridCol w:w="4602"/>
      </w:tblGrid>
      <w:tr w:rsidR="00F26EF8" w:rsidRPr="000F4314" w:rsidTr="00F26EF8">
        <w:tc>
          <w:tcPr>
            <w:tcW w:w="3186" w:type="dxa"/>
            <w:tcMar>
              <w:top w:w="57" w:type="dxa"/>
              <w:left w:w="57" w:type="dxa"/>
              <w:bottom w:w="57" w:type="dxa"/>
              <w:right w:w="57" w:type="dxa"/>
            </w:tcMar>
          </w:tcPr>
          <w:p w:rsidR="00F26EF8" w:rsidRPr="000F4314" w:rsidRDefault="00F26EF8" w:rsidP="00F26EF8">
            <w:pPr>
              <w:adjustRightInd w:val="0"/>
              <w:ind w:left="219" w:right="160"/>
              <w:rPr>
                <w:b/>
                <w:bCs/>
              </w:rPr>
            </w:pPr>
            <w:r w:rsidRPr="000F4314">
              <w:rPr>
                <w:b/>
                <w:bCs/>
              </w:rPr>
              <w:t>Month</w:t>
            </w:r>
          </w:p>
        </w:tc>
        <w:tc>
          <w:tcPr>
            <w:tcW w:w="4602" w:type="dxa"/>
            <w:tcMar>
              <w:top w:w="57" w:type="dxa"/>
              <w:left w:w="57" w:type="dxa"/>
              <w:bottom w:w="57" w:type="dxa"/>
              <w:right w:w="57" w:type="dxa"/>
            </w:tcMar>
          </w:tcPr>
          <w:p w:rsidR="00F26EF8" w:rsidRPr="000F4314" w:rsidRDefault="00F26EF8" w:rsidP="00F26EF8">
            <w:pPr>
              <w:adjustRightInd w:val="0"/>
              <w:ind w:left="219" w:right="160"/>
              <w:rPr>
                <w:b/>
                <w:bCs/>
              </w:rPr>
            </w:pPr>
            <w:r w:rsidRPr="000F4314">
              <w:rPr>
                <w:b/>
                <w:bCs/>
              </w:rPr>
              <w:t>Number of days worked for Principal A</w:t>
            </w:r>
          </w:p>
        </w:tc>
      </w:tr>
      <w:tr w:rsidR="00F26EF8" w:rsidRPr="000F4314" w:rsidTr="00F26EF8">
        <w:tc>
          <w:tcPr>
            <w:tcW w:w="3186" w:type="dxa"/>
            <w:tcMar>
              <w:top w:w="57" w:type="dxa"/>
              <w:left w:w="57" w:type="dxa"/>
              <w:bottom w:w="57" w:type="dxa"/>
              <w:right w:w="57" w:type="dxa"/>
            </w:tcMar>
          </w:tcPr>
          <w:p w:rsidR="00F26EF8" w:rsidRPr="000F4314" w:rsidRDefault="00F26EF8" w:rsidP="00F26EF8">
            <w:pPr>
              <w:adjustRightInd w:val="0"/>
              <w:ind w:left="219" w:right="160"/>
              <w:rPr>
                <w:bCs/>
              </w:rPr>
            </w:pPr>
            <w:r w:rsidRPr="000F4314">
              <w:t>July</w:t>
            </w:r>
          </w:p>
        </w:tc>
        <w:tc>
          <w:tcPr>
            <w:tcW w:w="4602" w:type="dxa"/>
            <w:tcMar>
              <w:top w:w="57" w:type="dxa"/>
              <w:left w:w="57" w:type="dxa"/>
              <w:bottom w:w="57" w:type="dxa"/>
              <w:right w:w="57" w:type="dxa"/>
            </w:tcMar>
          </w:tcPr>
          <w:p w:rsidR="00F26EF8" w:rsidRPr="000F4314" w:rsidRDefault="00F26EF8" w:rsidP="00F26EF8">
            <w:pPr>
              <w:adjustRightInd w:val="0"/>
              <w:ind w:left="219" w:right="160"/>
              <w:rPr>
                <w:bCs/>
              </w:rPr>
            </w:pPr>
            <w:r w:rsidRPr="000F4314">
              <w:rPr>
                <w:bCs/>
              </w:rPr>
              <w:t>5</w:t>
            </w:r>
          </w:p>
        </w:tc>
      </w:tr>
      <w:tr w:rsidR="00F26EF8" w:rsidRPr="000F4314" w:rsidTr="00F26EF8">
        <w:tc>
          <w:tcPr>
            <w:tcW w:w="3186" w:type="dxa"/>
            <w:tcMar>
              <w:top w:w="57" w:type="dxa"/>
              <w:left w:w="57" w:type="dxa"/>
              <w:bottom w:w="57" w:type="dxa"/>
              <w:right w:w="57" w:type="dxa"/>
            </w:tcMar>
          </w:tcPr>
          <w:p w:rsidR="00F26EF8" w:rsidRPr="000F4314" w:rsidRDefault="00F26EF8" w:rsidP="00F26EF8">
            <w:pPr>
              <w:adjustRightInd w:val="0"/>
              <w:ind w:left="219" w:right="160"/>
              <w:rPr>
                <w:bCs/>
              </w:rPr>
            </w:pPr>
            <w:r w:rsidRPr="000F4314">
              <w:t>August</w:t>
            </w:r>
          </w:p>
        </w:tc>
        <w:tc>
          <w:tcPr>
            <w:tcW w:w="4602" w:type="dxa"/>
            <w:tcMar>
              <w:top w:w="57" w:type="dxa"/>
              <w:left w:w="57" w:type="dxa"/>
              <w:bottom w:w="57" w:type="dxa"/>
              <w:right w:w="57" w:type="dxa"/>
            </w:tcMar>
          </w:tcPr>
          <w:p w:rsidR="00F26EF8" w:rsidRPr="000F4314" w:rsidRDefault="00F26EF8" w:rsidP="00F26EF8">
            <w:pPr>
              <w:adjustRightInd w:val="0"/>
              <w:ind w:left="219" w:right="160"/>
              <w:rPr>
                <w:bCs/>
              </w:rPr>
            </w:pPr>
            <w:r w:rsidRPr="000F4314">
              <w:rPr>
                <w:bCs/>
              </w:rPr>
              <w:t>3</w:t>
            </w:r>
          </w:p>
        </w:tc>
      </w:tr>
      <w:tr w:rsidR="00F26EF8" w:rsidRPr="000F4314" w:rsidTr="00F26EF8">
        <w:tc>
          <w:tcPr>
            <w:tcW w:w="3186" w:type="dxa"/>
            <w:tcMar>
              <w:top w:w="57" w:type="dxa"/>
              <w:left w:w="57" w:type="dxa"/>
              <w:bottom w:w="57" w:type="dxa"/>
              <w:right w:w="57" w:type="dxa"/>
            </w:tcMar>
          </w:tcPr>
          <w:p w:rsidR="00F26EF8" w:rsidRPr="000F4314" w:rsidRDefault="00F26EF8" w:rsidP="00F26EF8">
            <w:pPr>
              <w:adjustRightInd w:val="0"/>
              <w:ind w:left="219" w:right="160"/>
              <w:rPr>
                <w:bCs/>
              </w:rPr>
            </w:pPr>
            <w:r w:rsidRPr="000F4314">
              <w:t>September</w:t>
            </w:r>
          </w:p>
        </w:tc>
        <w:tc>
          <w:tcPr>
            <w:tcW w:w="4602" w:type="dxa"/>
            <w:tcMar>
              <w:top w:w="57" w:type="dxa"/>
              <w:left w:w="57" w:type="dxa"/>
              <w:bottom w:w="57" w:type="dxa"/>
              <w:right w:w="57" w:type="dxa"/>
            </w:tcMar>
          </w:tcPr>
          <w:p w:rsidR="00F26EF8" w:rsidRPr="000F4314" w:rsidRDefault="00F26EF8" w:rsidP="00F26EF8">
            <w:pPr>
              <w:adjustRightInd w:val="0"/>
              <w:ind w:left="219" w:right="160"/>
              <w:rPr>
                <w:bCs/>
              </w:rPr>
            </w:pPr>
            <w:r w:rsidRPr="000F4314">
              <w:rPr>
                <w:bCs/>
              </w:rPr>
              <w:t>7</w:t>
            </w:r>
          </w:p>
        </w:tc>
      </w:tr>
      <w:tr w:rsidR="00F26EF8" w:rsidRPr="000F4314" w:rsidTr="00F26EF8">
        <w:tc>
          <w:tcPr>
            <w:tcW w:w="3186" w:type="dxa"/>
            <w:tcMar>
              <w:top w:w="57" w:type="dxa"/>
              <w:left w:w="57" w:type="dxa"/>
              <w:bottom w:w="57" w:type="dxa"/>
              <w:right w:w="57" w:type="dxa"/>
            </w:tcMar>
          </w:tcPr>
          <w:p w:rsidR="00F26EF8" w:rsidRPr="000F4314" w:rsidRDefault="00F26EF8" w:rsidP="00F26EF8">
            <w:pPr>
              <w:adjustRightInd w:val="0"/>
              <w:ind w:left="219" w:right="160"/>
              <w:rPr>
                <w:bCs/>
              </w:rPr>
            </w:pPr>
            <w:r w:rsidRPr="000F4314">
              <w:rPr>
                <w:bCs/>
              </w:rPr>
              <w:t>October</w:t>
            </w:r>
          </w:p>
        </w:tc>
        <w:tc>
          <w:tcPr>
            <w:tcW w:w="4602" w:type="dxa"/>
            <w:tcMar>
              <w:top w:w="57" w:type="dxa"/>
              <w:left w:w="57" w:type="dxa"/>
              <w:bottom w:w="57" w:type="dxa"/>
              <w:right w:w="57" w:type="dxa"/>
            </w:tcMar>
          </w:tcPr>
          <w:p w:rsidR="00F26EF8" w:rsidRPr="000F4314" w:rsidRDefault="00F26EF8" w:rsidP="00F26EF8">
            <w:pPr>
              <w:adjustRightInd w:val="0"/>
              <w:ind w:left="219" w:right="160"/>
              <w:rPr>
                <w:bCs/>
              </w:rPr>
            </w:pPr>
            <w:r w:rsidRPr="000F4314">
              <w:rPr>
                <w:bCs/>
              </w:rPr>
              <w:t>5</w:t>
            </w:r>
          </w:p>
        </w:tc>
      </w:tr>
      <w:tr w:rsidR="00F26EF8" w:rsidRPr="000F4314" w:rsidTr="00F26EF8">
        <w:tc>
          <w:tcPr>
            <w:tcW w:w="3186" w:type="dxa"/>
            <w:tcMar>
              <w:top w:w="57" w:type="dxa"/>
              <w:left w:w="57" w:type="dxa"/>
              <w:bottom w:w="57" w:type="dxa"/>
              <w:right w:w="57" w:type="dxa"/>
            </w:tcMar>
          </w:tcPr>
          <w:p w:rsidR="00F26EF8" w:rsidRPr="000F4314" w:rsidRDefault="00F26EF8" w:rsidP="00F26EF8">
            <w:pPr>
              <w:adjustRightInd w:val="0"/>
              <w:ind w:left="219" w:right="160"/>
              <w:rPr>
                <w:bCs/>
              </w:rPr>
            </w:pPr>
            <w:r w:rsidRPr="000F4314">
              <w:rPr>
                <w:bCs/>
              </w:rPr>
              <w:t>November</w:t>
            </w:r>
          </w:p>
        </w:tc>
        <w:tc>
          <w:tcPr>
            <w:tcW w:w="4602" w:type="dxa"/>
            <w:tcMar>
              <w:top w:w="57" w:type="dxa"/>
              <w:left w:w="57" w:type="dxa"/>
              <w:bottom w:w="57" w:type="dxa"/>
              <w:right w:w="57" w:type="dxa"/>
            </w:tcMar>
          </w:tcPr>
          <w:p w:rsidR="00F26EF8" w:rsidRPr="000F4314" w:rsidRDefault="00F26EF8" w:rsidP="00F26EF8">
            <w:pPr>
              <w:adjustRightInd w:val="0"/>
              <w:ind w:left="219" w:right="160"/>
              <w:rPr>
                <w:bCs/>
              </w:rPr>
            </w:pPr>
            <w:r w:rsidRPr="000F4314">
              <w:rPr>
                <w:bCs/>
              </w:rPr>
              <w:t>16</w:t>
            </w:r>
          </w:p>
        </w:tc>
      </w:tr>
      <w:tr w:rsidR="00F26EF8" w:rsidRPr="000F4314" w:rsidTr="00F26EF8">
        <w:tc>
          <w:tcPr>
            <w:tcW w:w="3186" w:type="dxa"/>
            <w:tcMar>
              <w:top w:w="57" w:type="dxa"/>
              <w:left w:w="57" w:type="dxa"/>
              <w:bottom w:w="57" w:type="dxa"/>
              <w:right w:w="57" w:type="dxa"/>
            </w:tcMar>
          </w:tcPr>
          <w:p w:rsidR="00F26EF8" w:rsidRPr="000F4314" w:rsidRDefault="00F26EF8" w:rsidP="00F26EF8">
            <w:pPr>
              <w:adjustRightInd w:val="0"/>
              <w:ind w:left="219" w:right="160"/>
              <w:rPr>
                <w:bCs/>
              </w:rPr>
            </w:pPr>
            <w:r w:rsidRPr="000F4314">
              <w:rPr>
                <w:bCs/>
              </w:rPr>
              <w:t>December</w:t>
            </w:r>
          </w:p>
        </w:tc>
        <w:tc>
          <w:tcPr>
            <w:tcW w:w="4602" w:type="dxa"/>
            <w:tcMar>
              <w:top w:w="57" w:type="dxa"/>
              <w:left w:w="57" w:type="dxa"/>
              <w:bottom w:w="57" w:type="dxa"/>
              <w:right w:w="57" w:type="dxa"/>
            </w:tcMar>
          </w:tcPr>
          <w:p w:rsidR="00F26EF8" w:rsidRPr="000F4314" w:rsidRDefault="00F26EF8" w:rsidP="00F26EF8">
            <w:pPr>
              <w:adjustRightInd w:val="0"/>
              <w:ind w:left="219" w:right="160"/>
              <w:rPr>
                <w:bCs/>
              </w:rPr>
            </w:pPr>
            <w:r w:rsidRPr="000F4314">
              <w:rPr>
                <w:bCs/>
              </w:rPr>
              <w:t>9</w:t>
            </w:r>
          </w:p>
        </w:tc>
      </w:tr>
      <w:tr w:rsidR="00F26EF8" w:rsidRPr="000F4314" w:rsidTr="00F26EF8">
        <w:tc>
          <w:tcPr>
            <w:tcW w:w="3186" w:type="dxa"/>
            <w:tcMar>
              <w:top w:w="57" w:type="dxa"/>
              <w:left w:w="57" w:type="dxa"/>
              <w:bottom w:w="57" w:type="dxa"/>
              <w:right w:w="57" w:type="dxa"/>
            </w:tcMar>
          </w:tcPr>
          <w:p w:rsidR="00F26EF8" w:rsidRPr="000F4314" w:rsidRDefault="00F26EF8" w:rsidP="00F26EF8">
            <w:pPr>
              <w:adjustRightInd w:val="0"/>
              <w:ind w:left="219" w:right="160"/>
              <w:rPr>
                <w:bCs/>
              </w:rPr>
            </w:pPr>
            <w:r w:rsidRPr="000F4314">
              <w:rPr>
                <w:bCs/>
              </w:rPr>
              <w:t>January</w:t>
            </w:r>
          </w:p>
        </w:tc>
        <w:tc>
          <w:tcPr>
            <w:tcW w:w="4602" w:type="dxa"/>
            <w:tcMar>
              <w:top w:w="57" w:type="dxa"/>
              <w:left w:w="57" w:type="dxa"/>
              <w:bottom w:w="57" w:type="dxa"/>
              <w:right w:w="57" w:type="dxa"/>
            </w:tcMar>
          </w:tcPr>
          <w:p w:rsidR="00F26EF8" w:rsidRPr="000F4314" w:rsidRDefault="00F26EF8" w:rsidP="00F26EF8">
            <w:pPr>
              <w:adjustRightInd w:val="0"/>
              <w:ind w:left="219" w:right="160"/>
              <w:rPr>
                <w:bCs/>
              </w:rPr>
            </w:pPr>
            <w:r w:rsidRPr="000F4314">
              <w:rPr>
                <w:bCs/>
              </w:rPr>
              <w:t>13</w:t>
            </w:r>
          </w:p>
        </w:tc>
      </w:tr>
      <w:tr w:rsidR="00F26EF8" w:rsidRPr="000F4314" w:rsidTr="00F26EF8">
        <w:tc>
          <w:tcPr>
            <w:tcW w:w="3186" w:type="dxa"/>
            <w:tcMar>
              <w:top w:w="57" w:type="dxa"/>
              <w:left w:w="57" w:type="dxa"/>
              <w:bottom w:w="57" w:type="dxa"/>
              <w:right w:w="57" w:type="dxa"/>
            </w:tcMar>
          </w:tcPr>
          <w:p w:rsidR="00F26EF8" w:rsidRPr="000F4314" w:rsidRDefault="00F26EF8" w:rsidP="00F26EF8">
            <w:pPr>
              <w:adjustRightInd w:val="0"/>
              <w:ind w:left="219" w:right="160"/>
              <w:rPr>
                <w:bCs/>
              </w:rPr>
            </w:pPr>
            <w:r w:rsidRPr="000F4314">
              <w:rPr>
                <w:bCs/>
              </w:rPr>
              <w:t>February</w:t>
            </w:r>
          </w:p>
        </w:tc>
        <w:tc>
          <w:tcPr>
            <w:tcW w:w="4602" w:type="dxa"/>
            <w:tcMar>
              <w:top w:w="57" w:type="dxa"/>
              <w:left w:w="57" w:type="dxa"/>
              <w:bottom w:w="57" w:type="dxa"/>
              <w:right w:w="57" w:type="dxa"/>
            </w:tcMar>
          </w:tcPr>
          <w:p w:rsidR="00F26EF8" w:rsidRPr="000F4314" w:rsidRDefault="00F26EF8" w:rsidP="00F26EF8">
            <w:pPr>
              <w:adjustRightInd w:val="0"/>
              <w:ind w:left="219" w:right="160"/>
              <w:rPr>
                <w:bCs/>
              </w:rPr>
            </w:pPr>
            <w:r w:rsidRPr="000F4314">
              <w:rPr>
                <w:bCs/>
              </w:rPr>
              <w:t>4</w:t>
            </w:r>
          </w:p>
        </w:tc>
      </w:tr>
      <w:tr w:rsidR="00F26EF8" w:rsidRPr="000F4314" w:rsidTr="00F26EF8">
        <w:tc>
          <w:tcPr>
            <w:tcW w:w="3186" w:type="dxa"/>
            <w:tcMar>
              <w:top w:w="57" w:type="dxa"/>
              <w:left w:w="57" w:type="dxa"/>
              <w:bottom w:w="57" w:type="dxa"/>
              <w:right w:w="57" w:type="dxa"/>
            </w:tcMar>
          </w:tcPr>
          <w:p w:rsidR="00F26EF8" w:rsidRPr="000F4314" w:rsidRDefault="00F26EF8" w:rsidP="00F26EF8">
            <w:pPr>
              <w:adjustRightInd w:val="0"/>
              <w:ind w:left="219" w:right="160"/>
              <w:rPr>
                <w:bCs/>
              </w:rPr>
            </w:pPr>
            <w:r w:rsidRPr="000F4314">
              <w:rPr>
                <w:bCs/>
              </w:rPr>
              <w:t>March</w:t>
            </w:r>
          </w:p>
        </w:tc>
        <w:tc>
          <w:tcPr>
            <w:tcW w:w="4602" w:type="dxa"/>
            <w:tcMar>
              <w:top w:w="57" w:type="dxa"/>
              <w:left w:w="57" w:type="dxa"/>
              <w:bottom w:w="57" w:type="dxa"/>
              <w:right w:w="57" w:type="dxa"/>
            </w:tcMar>
          </w:tcPr>
          <w:p w:rsidR="00F26EF8" w:rsidRPr="000F4314" w:rsidRDefault="00F26EF8" w:rsidP="00F26EF8">
            <w:pPr>
              <w:adjustRightInd w:val="0"/>
              <w:ind w:left="219" w:right="160"/>
              <w:rPr>
                <w:bCs/>
              </w:rPr>
            </w:pPr>
            <w:r w:rsidRPr="000F4314">
              <w:rPr>
                <w:bCs/>
              </w:rPr>
              <w:t>8</w:t>
            </w:r>
          </w:p>
        </w:tc>
      </w:tr>
      <w:tr w:rsidR="00F26EF8" w:rsidRPr="000F4314" w:rsidTr="00F26EF8">
        <w:tc>
          <w:tcPr>
            <w:tcW w:w="3186" w:type="dxa"/>
            <w:tcMar>
              <w:top w:w="57" w:type="dxa"/>
              <w:left w:w="57" w:type="dxa"/>
              <w:bottom w:w="57" w:type="dxa"/>
              <w:right w:w="57" w:type="dxa"/>
            </w:tcMar>
          </w:tcPr>
          <w:p w:rsidR="00F26EF8" w:rsidRPr="000F4314" w:rsidRDefault="00F26EF8" w:rsidP="00F26EF8">
            <w:pPr>
              <w:adjustRightInd w:val="0"/>
              <w:ind w:left="219" w:right="160"/>
              <w:rPr>
                <w:bCs/>
              </w:rPr>
            </w:pPr>
            <w:r w:rsidRPr="000F4314">
              <w:rPr>
                <w:bCs/>
              </w:rPr>
              <w:t>April</w:t>
            </w:r>
          </w:p>
        </w:tc>
        <w:tc>
          <w:tcPr>
            <w:tcW w:w="4602" w:type="dxa"/>
            <w:tcMar>
              <w:top w:w="57" w:type="dxa"/>
              <w:left w:w="57" w:type="dxa"/>
              <w:bottom w:w="57" w:type="dxa"/>
              <w:right w:w="57" w:type="dxa"/>
            </w:tcMar>
          </w:tcPr>
          <w:p w:rsidR="00F26EF8" w:rsidRPr="000F4314" w:rsidRDefault="00F26EF8" w:rsidP="00F26EF8">
            <w:pPr>
              <w:adjustRightInd w:val="0"/>
              <w:ind w:left="219" w:right="160"/>
              <w:rPr>
                <w:bCs/>
              </w:rPr>
            </w:pPr>
            <w:r w:rsidRPr="000F4314">
              <w:rPr>
                <w:bCs/>
              </w:rPr>
              <w:t>5</w:t>
            </w:r>
          </w:p>
        </w:tc>
      </w:tr>
      <w:tr w:rsidR="00F26EF8" w:rsidRPr="000F4314" w:rsidTr="00F26EF8">
        <w:tc>
          <w:tcPr>
            <w:tcW w:w="3186" w:type="dxa"/>
            <w:tcMar>
              <w:top w:w="57" w:type="dxa"/>
              <w:left w:w="57" w:type="dxa"/>
              <w:bottom w:w="57" w:type="dxa"/>
              <w:right w:w="57" w:type="dxa"/>
            </w:tcMar>
          </w:tcPr>
          <w:p w:rsidR="00F26EF8" w:rsidRPr="000F4314" w:rsidRDefault="00F26EF8" w:rsidP="00F26EF8">
            <w:pPr>
              <w:adjustRightInd w:val="0"/>
              <w:ind w:left="219" w:right="160"/>
              <w:rPr>
                <w:bCs/>
              </w:rPr>
            </w:pPr>
            <w:r w:rsidRPr="000F4314">
              <w:rPr>
                <w:bCs/>
              </w:rPr>
              <w:t>May</w:t>
            </w:r>
          </w:p>
        </w:tc>
        <w:tc>
          <w:tcPr>
            <w:tcW w:w="4602" w:type="dxa"/>
            <w:tcMar>
              <w:top w:w="57" w:type="dxa"/>
              <w:left w:w="57" w:type="dxa"/>
              <w:bottom w:w="57" w:type="dxa"/>
              <w:right w:w="57" w:type="dxa"/>
            </w:tcMar>
          </w:tcPr>
          <w:p w:rsidR="00F26EF8" w:rsidRPr="000F4314" w:rsidRDefault="00F26EF8" w:rsidP="00F26EF8">
            <w:pPr>
              <w:adjustRightInd w:val="0"/>
              <w:ind w:left="219" w:right="160"/>
              <w:rPr>
                <w:bCs/>
              </w:rPr>
            </w:pPr>
            <w:r w:rsidRPr="000F4314">
              <w:rPr>
                <w:bCs/>
              </w:rPr>
              <w:t>14</w:t>
            </w:r>
          </w:p>
        </w:tc>
      </w:tr>
      <w:tr w:rsidR="00F26EF8" w:rsidRPr="000F4314" w:rsidTr="00F26EF8">
        <w:tc>
          <w:tcPr>
            <w:tcW w:w="3186" w:type="dxa"/>
            <w:tcMar>
              <w:top w:w="57" w:type="dxa"/>
              <w:left w:w="57" w:type="dxa"/>
              <w:bottom w:w="57" w:type="dxa"/>
              <w:right w:w="57" w:type="dxa"/>
            </w:tcMar>
          </w:tcPr>
          <w:p w:rsidR="00F26EF8" w:rsidRPr="000F4314" w:rsidRDefault="00F26EF8" w:rsidP="00F26EF8">
            <w:pPr>
              <w:adjustRightInd w:val="0"/>
              <w:ind w:left="219" w:right="160"/>
              <w:rPr>
                <w:bCs/>
              </w:rPr>
            </w:pPr>
            <w:r w:rsidRPr="000F4314">
              <w:rPr>
                <w:bCs/>
              </w:rPr>
              <w:t>June</w:t>
            </w:r>
          </w:p>
        </w:tc>
        <w:tc>
          <w:tcPr>
            <w:tcW w:w="4602" w:type="dxa"/>
            <w:tcMar>
              <w:top w:w="57" w:type="dxa"/>
              <w:left w:w="57" w:type="dxa"/>
              <w:bottom w:w="57" w:type="dxa"/>
              <w:right w:w="57" w:type="dxa"/>
            </w:tcMar>
          </w:tcPr>
          <w:p w:rsidR="00F26EF8" w:rsidRPr="000F4314" w:rsidRDefault="00F26EF8" w:rsidP="00F26EF8">
            <w:pPr>
              <w:adjustRightInd w:val="0"/>
              <w:ind w:left="219" w:right="160"/>
              <w:rPr>
                <w:bCs/>
              </w:rPr>
            </w:pPr>
            <w:r w:rsidRPr="000F4314">
              <w:rPr>
                <w:bCs/>
              </w:rPr>
              <w:t>11</w:t>
            </w:r>
          </w:p>
        </w:tc>
      </w:tr>
      <w:tr w:rsidR="00F26EF8" w:rsidRPr="000F4314" w:rsidTr="00F26EF8">
        <w:tc>
          <w:tcPr>
            <w:tcW w:w="3186" w:type="dxa"/>
            <w:tcMar>
              <w:top w:w="57" w:type="dxa"/>
              <w:left w:w="57" w:type="dxa"/>
              <w:bottom w:w="57" w:type="dxa"/>
              <w:right w:w="57" w:type="dxa"/>
            </w:tcMar>
          </w:tcPr>
          <w:p w:rsidR="00F26EF8" w:rsidRPr="000F4314" w:rsidRDefault="00F26EF8" w:rsidP="00F26EF8">
            <w:pPr>
              <w:adjustRightInd w:val="0"/>
              <w:ind w:left="219" w:right="160"/>
              <w:rPr>
                <w:b/>
                <w:bCs/>
              </w:rPr>
            </w:pPr>
            <w:r w:rsidRPr="000F4314">
              <w:rPr>
                <w:b/>
                <w:bCs/>
              </w:rPr>
              <w:t>Total</w:t>
            </w:r>
          </w:p>
        </w:tc>
        <w:tc>
          <w:tcPr>
            <w:tcW w:w="4602" w:type="dxa"/>
            <w:tcMar>
              <w:top w:w="57" w:type="dxa"/>
              <w:left w:w="57" w:type="dxa"/>
              <w:bottom w:w="57" w:type="dxa"/>
              <w:right w:w="57" w:type="dxa"/>
            </w:tcMar>
          </w:tcPr>
          <w:p w:rsidR="00F26EF8" w:rsidRPr="000F4314" w:rsidRDefault="00F26EF8" w:rsidP="00F26EF8">
            <w:pPr>
              <w:adjustRightInd w:val="0"/>
              <w:ind w:left="219" w:right="160"/>
              <w:rPr>
                <w:b/>
                <w:bCs/>
              </w:rPr>
            </w:pPr>
            <w:r w:rsidRPr="000F4314">
              <w:rPr>
                <w:b/>
                <w:bCs/>
              </w:rPr>
              <w:t>100</w:t>
            </w:r>
          </w:p>
        </w:tc>
      </w:tr>
    </w:tbl>
    <w:p w:rsidR="00F26EF8" w:rsidRPr="000F4314" w:rsidRDefault="00F26EF8" w:rsidP="00F26EF8">
      <w:pPr>
        <w:adjustRightInd w:val="0"/>
        <w:spacing w:before="120" w:after="120"/>
        <w:ind w:left="851"/>
        <w:jc w:val="both"/>
      </w:pPr>
      <w:r w:rsidRPr="000F4314">
        <w:t xml:space="preserve">In that financial year, Michael worked for a total of 100 days for Principal A, which is an average of 8. 3 (100 days divided by 12 months) days per month.  As a result, payments made by Principal A to Michael for the financial year are exempt from payroll tax. </w:t>
      </w:r>
    </w:p>
    <w:p w:rsidR="00F26EF8" w:rsidRPr="000F4314" w:rsidRDefault="00F26EF8" w:rsidP="00F26EF8">
      <w:pPr>
        <w:adjustRightInd w:val="0"/>
        <w:spacing w:before="120" w:after="120"/>
        <w:ind w:left="851"/>
      </w:pPr>
      <w:r w:rsidRPr="00F26EF8">
        <w:rPr>
          <w:u w:val="single"/>
        </w:rPr>
        <w:t>Example 2</w:t>
      </w:r>
      <w:r w:rsidRPr="00F26EF8">
        <w:t xml:space="preserve">: </w:t>
      </w:r>
      <w:r w:rsidRPr="000F4314">
        <w:t>Shelly is also a computer programmer.  During the financial year, she provided services to Principal C and Principal D.  Under her contract for service with Principal C, she provided her services as follows during the financial year:</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6"/>
        <w:gridCol w:w="4602"/>
      </w:tblGrid>
      <w:tr w:rsidR="00F26EF8" w:rsidRPr="000F4314" w:rsidTr="00F26EF8">
        <w:tc>
          <w:tcPr>
            <w:tcW w:w="3186" w:type="dxa"/>
            <w:tcMar>
              <w:top w:w="57" w:type="dxa"/>
              <w:left w:w="57" w:type="dxa"/>
              <w:bottom w:w="57" w:type="dxa"/>
              <w:right w:w="57" w:type="dxa"/>
            </w:tcMar>
          </w:tcPr>
          <w:p w:rsidR="00F26EF8" w:rsidRPr="000F4314" w:rsidRDefault="00F26EF8" w:rsidP="00F26EF8">
            <w:pPr>
              <w:adjustRightInd w:val="0"/>
              <w:ind w:left="219"/>
              <w:rPr>
                <w:b/>
                <w:bCs/>
              </w:rPr>
            </w:pPr>
            <w:r w:rsidRPr="000F4314">
              <w:rPr>
                <w:b/>
                <w:bCs/>
              </w:rPr>
              <w:t>Month</w:t>
            </w:r>
          </w:p>
        </w:tc>
        <w:tc>
          <w:tcPr>
            <w:tcW w:w="4602" w:type="dxa"/>
            <w:tcMar>
              <w:top w:w="57" w:type="dxa"/>
              <w:left w:w="57" w:type="dxa"/>
              <w:bottom w:w="57" w:type="dxa"/>
              <w:right w:w="57" w:type="dxa"/>
            </w:tcMar>
          </w:tcPr>
          <w:p w:rsidR="00F26EF8" w:rsidRPr="000F4314" w:rsidRDefault="00F26EF8" w:rsidP="00F26EF8">
            <w:pPr>
              <w:adjustRightInd w:val="0"/>
              <w:ind w:left="219"/>
              <w:rPr>
                <w:b/>
                <w:bCs/>
              </w:rPr>
            </w:pPr>
            <w:r w:rsidRPr="000F4314">
              <w:rPr>
                <w:b/>
                <w:bCs/>
              </w:rPr>
              <w:t>Number of days worked for Principal C</w:t>
            </w:r>
          </w:p>
        </w:tc>
      </w:tr>
      <w:tr w:rsidR="00F26EF8" w:rsidRPr="000F4314" w:rsidTr="00F26EF8">
        <w:tc>
          <w:tcPr>
            <w:tcW w:w="3186" w:type="dxa"/>
            <w:tcMar>
              <w:top w:w="57" w:type="dxa"/>
              <w:left w:w="57" w:type="dxa"/>
              <w:bottom w:w="57" w:type="dxa"/>
              <w:right w:w="57" w:type="dxa"/>
            </w:tcMar>
          </w:tcPr>
          <w:p w:rsidR="00F26EF8" w:rsidRPr="000F4314" w:rsidRDefault="00F26EF8" w:rsidP="00F26EF8">
            <w:pPr>
              <w:adjustRightInd w:val="0"/>
              <w:ind w:left="219"/>
              <w:rPr>
                <w:bCs/>
              </w:rPr>
            </w:pPr>
            <w:r w:rsidRPr="000F4314">
              <w:t>July</w:t>
            </w:r>
          </w:p>
        </w:tc>
        <w:tc>
          <w:tcPr>
            <w:tcW w:w="4602" w:type="dxa"/>
            <w:tcMar>
              <w:top w:w="57" w:type="dxa"/>
              <w:left w:w="57" w:type="dxa"/>
              <w:bottom w:w="57" w:type="dxa"/>
              <w:right w:w="57" w:type="dxa"/>
            </w:tcMar>
          </w:tcPr>
          <w:p w:rsidR="00F26EF8" w:rsidRPr="000F4314" w:rsidRDefault="00F26EF8" w:rsidP="00F26EF8">
            <w:pPr>
              <w:adjustRightInd w:val="0"/>
              <w:ind w:left="219"/>
              <w:rPr>
                <w:bCs/>
              </w:rPr>
            </w:pPr>
            <w:r w:rsidRPr="000F4314">
              <w:rPr>
                <w:bCs/>
              </w:rPr>
              <w:t>11</w:t>
            </w:r>
          </w:p>
        </w:tc>
      </w:tr>
      <w:tr w:rsidR="00F26EF8" w:rsidRPr="000F4314" w:rsidTr="00F26EF8">
        <w:tc>
          <w:tcPr>
            <w:tcW w:w="3186" w:type="dxa"/>
            <w:tcMar>
              <w:top w:w="57" w:type="dxa"/>
              <w:left w:w="57" w:type="dxa"/>
              <w:bottom w:w="57" w:type="dxa"/>
              <w:right w:w="57" w:type="dxa"/>
            </w:tcMar>
          </w:tcPr>
          <w:p w:rsidR="00F26EF8" w:rsidRPr="000F4314" w:rsidRDefault="00F26EF8" w:rsidP="00F26EF8">
            <w:pPr>
              <w:adjustRightInd w:val="0"/>
              <w:ind w:left="219"/>
              <w:rPr>
                <w:bCs/>
              </w:rPr>
            </w:pPr>
            <w:r w:rsidRPr="000F4314">
              <w:t>August</w:t>
            </w:r>
          </w:p>
        </w:tc>
        <w:tc>
          <w:tcPr>
            <w:tcW w:w="4602" w:type="dxa"/>
            <w:tcMar>
              <w:top w:w="57" w:type="dxa"/>
              <w:left w:w="57" w:type="dxa"/>
              <w:bottom w:w="57" w:type="dxa"/>
              <w:right w:w="57" w:type="dxa"/>
            </w:tcMar>
          </w:tcPr>
          <w:p w:rsidR="00F26EF8" w:rsidRPr="000F4314" w:rsidRDefault="00F26EF8" w:rsidP="00F26EF8">
            <w:pPr>
              <w:adjustRightInd w:val="0"/>
              <w:ind w:left="219"/>
              <w:rPr>
                <w:bCs/>
              </w:rPr>
            </w:pPr>
            <w:r w:rsidRPr="000F4314">
              <w:rPr>
                <w:bCs/>
              </w:rPr>
              <w:t>16</w:t>
            </w:r>
          </w:p>
        </w:tc>
      </w:tr>
      <w:tr w:rsidR="00F26EF8" w:rsidRPr="000F4314" w:rsidTr="00F26EF8">
        <w:tc>
          <w:tcPr>
            <w:tcW w:w="3186" w:type="dxa"/>
            <w:tcMar>
              <w:top w:w="57" w:type="dxa"/>
              <w:left w:w="57" w:type="dxa"/>
              <w:bottom w:w="57" w:type="dxa"/>
              <w:right w:w="57" w:type="dxa"/>
            </w:tcMar>
          </w:tcPr>
          <w:p w:rsidR="00F26EF8" w:rsidRPr="000F4314" w:rsidRDefault="00F26EF8" w:rsidP="00F26EF8">
            <w:pPr>
              <w:adjustRightInd w:val="0"/>
              <w:ind w:left="219"/>
              <w:rPr>
                <w:bCs/>
              </w:rPr>
            </w:pPr>
            <w:r w:rsidRPr="000F4314">
              <w:t>September</w:t>
            </w:r>
          </w:p>
        </w:tc>
        <w:tc>
          <w:tcPr>
            <w:tcW w:w="4602" w:type="dxa"/>
            <w:tcMar>
              <w:top w:w="57" w:type="dxa"/>
              <w:left w:w="57" w:type="dxa"/>
              <w:bottom w:w="57" w:type="dxa"/>
              <w:right w:w="57" w:type="dxa"/>
            </w:tcMar>
          </w:tcPr>
          <w:p w:rsidR="00F26EF8" w:rsidRPr="000F4314" w:rsidRDefault="00F26EF8" w:rsidP="00F26EF8">
            <w:pPr>
              <w:adjustRightInd w:val="0"/>
              <w:ind w:left="219"/>
              <w:rPr>
                <w:bCs/>
              </w:rPr>
            </w:pPr>
            <w:r w:rsidRPr="000F4314">
              <w:rPr>
                <w:bCs/>
              </w:rPr>
              <w:t>-</w:t>
            </w:r>
          </w:p>
        </w:tc>
      </w:tr>
      <w:tr w:rsidR="00F26EF8" w:rsidRPr="000F4314" w:rsidTr="00F26EF8">
        <w:tc>
          <w:tcPr>
            <w:tcW w:w="3186" w:type="dxa"/>
            <w:tcMar>
              <w:top w:w="57" w:type="dxa"/>
              <w:left w:w="57" w:type="dxa"/>
              <w:bottom w:w="57" w:type="dxa"/>
              <w:right w:w="57" w:type="dxa"/>
            </w:tcMar>
          </w:tcPr>
          <w:p w:rsidR="00F26EF8" w:rsidRPr="000F4314" w:rsidRDefault="00F26EF8" w:rsidP="00F26EF8">
            <w:pPr>
              <w:adjustRightInd w:val="0"/>
              <w:ind w:left="219"/>
              <w:rPr>
                <w:bCs/>
              </w:rPr>
            </w:pPr>
            <w:r w:rsidRPr="000F4314">
              <w:rPr>
                <w:bCs/>
              </w:rPr>
              <w:t>October</w:t>
            </w:r>
          </w:p>
        </w:tc>
        <w:tc>
          <w:tcPr>
            <w:tcW w:w="4602" w:type="dxa"/>
            <w:tcMar>
              <w:top w:w="57" w:type="dxa"/>
              <w:left w:w="57" w:type="dxa"/>
              <w:bottom w:w="57" w:type="dxa"/>
              <w:right w:w="57" w:type="dxa"/>
            </w:tcMar>
          </w:tcPr>
          <w:p w:rsidR="00F26EF8" w:rsidRPr="000F4314" w:rsidRDefault="00F26EF8" w:rsidP="00F26EF8">
            <w:pPr>
              <w:adjustRightInd w:val="0"/>
              <w:ind w:left="219"/>
              <w:rPr>
                <w:bCs/>
              </w:rPr>
            </w:pPr>
            <w:r w:rsidRPr="000F4314">
              <w:rPr>
                <w:bCs/>
              </w:rPr>
              <w:t>-</w:t>
            </w:r>
          </w:p>
        </w:tc>
      </w:tr>
      <w:tr w:rsidR="00F26EF8" w:rsidRPr="000F4314" w:rsidTr="00F26EF8">
        <w:tc>
          <w:tcPr>
            <w:tcW w:w="3186" w:type="dxa"/>
            <w:tcMar>
              <w:top w:w="57" w:type="dxa"/>
              <w:left w:w="57" w:type="dxa"/>
              <w:bottom w:w="57" w:type="dxa"/>
              <w:right w:w="57" w:type="dxa"/>
            </w:tcMar>
          </w:tcPr>
          <w:p w:rsidR="00F26EF8" w:rsidRPr="000F4314" w:rsidRDefault="00F26EF8" w:rsidP="00F26EF8">
            <w:pPr>
              <w:adjustRightInd w:val="0"/>
              <w:ind w:left="219"/>
              <w:rPr>
                <w:bCs/>
              </w:rPr>
            </w:pPr>
            <w:r w:rsidRPr="000F4314">
              <w:rPr>
                <w:bCs/>
              </w:rPr>
              <w:t>November</w:t>
            </w:r>
          </w:p>
        </w:tc>
        <w:tc>
          <w:tcPr>
            <w:tcW w:w="4602" w:type="dxa"/>
            <w:tcMar>
              <w:top w:w="57" w:type="dxa"/>
              <w:left w:w="57" w:type="dxa"/>
              <w:bottom w:w="57" w:type="dxa"/>
              <w:right w:w="57" w:type="dxa"/>
            </w:tcMar>
          </w:tcPr>
          <w:p w:rsidR="00F26EF8" w:rsidRPr="000F4314" w:rsidRDefault="00F26EF8" w:rsidP="00F26EF8">
            <w:pPr>
              <w:adjustRightInd w:val="0"/>
              <w:ind w:left="219"/>
              <w:rPr>
                <w:bCs/>
              </w:rPr>
            </w:pPr>
            <w:r w:rsidRPr="000F4314">
              <w:rPr>
                <w:bCs/>
              </w:rPr>
              <w:t>-</w:t>
            </w:r>
          </w:p>
        </w:tc>
      </w:tr>
      <w:tr w:rsidR="00F26EF8" w:rsidRPr="000F4314" w:rsidTr="00F26EF8">
        <w:tc>
          <w:tcPr>
            <w:tcW w:w="3186" w:type="dxa"/>
            <w:tcMar>
              <w:top w:w="57" w:type="dxa"/>
              <w:left w:w="57" w:type="dxa"/>
              <w:bottom w:w="57" w:type="dxa"/>
              <w:right w:w="57" w:type="dxa"/>
            </w:tcMar>
          </w:tcPr>
          <w:p w:rsidR="00F26EF8" w:rsidRPr="000F4314" w:rsidRDefault="00F26EF8" w:rsidP="00F26EF8">
            <w:pPr>
              <w:adjustRightInd w:val="0"/>
              <w:ind w:left="219"/>
              <w:rPr>
                <w:bCs/>
              </w:rPr>
            </w:pPr>
            <w:r w:rsidRPr="000F4314">
              <w:rPr>
                <w:bCs/>
              </w:rPr>
              <w:t>December</w:t>
            </w:r>
          </w:p>
        </w:tc>
        <w:tc>
          <w:tcPr>
            <w:tcW w:w="4602" w:type="dxa"/>
            <w:tcMar>
              <w:top w:w="57" w:type="dxa"/>
              <w:left w:w="57" w:type="dxa"/>
              <w:bottom w:w="57" w:type="dxa"/>
              <w:right w:w="57" w:type="dxa"/>
            </w:tcMar>
          </w:tcPr>
          <w:p w:rsidR="00F26EF8" w:rsidRPr="000F4314" w:rsidRDefault="00F26EF8" w:rsidP="00F26EF8">
            <w:pPr>
              <w:adjustRightInd w:val="0"/>
              <w:ind w:left="219"/>
              <w:rPr>
                <w:bCs/>
              </w:rPr>
            </w:pPr>
            <w:r w:rsidRPr="000F4314">
              <w:rPr>
                <w:bCs/>
              </w:rPr>
              <w:t>22</w:t>
            </w:r>
          </w:p>
        </w:tc>
      </w:tr>
      <w:tr w:rsidR="00F26EF8" w:rsidRPr="000F4314" w:rsidTr="00F26EF8">
        <w:tc>
          <w:tcPr>
            <w:tcW w:w="3186" w:type="dxa"/>
            <w:tcMar>
              <w:top w:w="57" w:type="dxa"/>
              <w:left w:w="57" w:type="dxa"/>
              <w:bottom w:w="57" w:type="dxa"/>
              <w:right w:w="57" w:type="dxa"/>
            </w:tcMar>
          </w:tcPr>
          <w:p w:rsidR="00F26EF8" w:rsidRPr="000F4314" w:rsidRDefault="00F26EF8" w:rsidP="00F26EF8">
            <w:pPr>
              <w:adjustRightInd w:val="0"/>
              <w:ind w:left="219"/>
              <w:rPr>
                <w:bCs/>
              </w:rPr>
            </w:pPr>
            <w:r w:rsidRPr="000F4314">
              <w:rPr>
                <w:bCs/>
              </w:rPr>
              <w:t>January</w:t>
            </w:r>
          </w:p>
        </w:tc>
        <w:tc>
          <w:tcPr>
            <w:tcW w:w="4602" w:type="dxa"/>
            <w:tcMar>
              <w:top w:w="57" w:type="dxa"/>
              <w:left w:w="57" w:type="dxa"/>
              <w:bottom w:w="57" w:type="dxa"/>
              <w:right w:w="57" w:type="dxa"/>
            </w:tcMar>
          </w:tcPr>
          <w:p w:rsidR="00F26EF8" w:rsidRPr="000F4314" w:rsidRDefault="00F26EF8" w:rsidP="00F26EF8">
            <w:pPr>
              <w:adjustRightInd w:val="0"/>
              <w:ind w:left="219"/>
              <w:rPr>
                <w:bCs/>
              </w:rPr>
            </w:pPr>
            <w:r w:rsidRPr="000F4314">
              <w:rPr>
                <w:bCs/>
              </w:rPr>
              <w:t>21</w:t>
            </w:r>
          </w:p>
        </w:tc>
      </w:tr>
      <w:tr w:rsidR="00F26EF8" w:rsidRPr="000F4314" w:rsidTr="00F26EF8">
        <w:tc>
          <w:tcPr>
            <w:tcW w:w="3186" w:type="dxa"/>
            <w:tcMar>
              <w:top w:w="57" w:type="dxa"/>
              <w:left w:w="57" w:type="dxa"/>
              <w:bottom w:w="57" w:type="dxa"/>
              <w:right w:w="57" w:type="dxa"/>
            </w:tcMar>
          </w:tcPr>
          <w:p w:rsidR="00F26EF8" w:rsidRPr="000F4314" w:rsidRDefault="00F26EF8" w:rsidP="00F26EF8">
            <w:pPr>
              <w:adjustRightInd w:val="0"/>
              <w:ind w:left="219"/>
              <w:rPr>
                <w:bCs/>
              </w:rPr>
            </w:pPr>
            <w:r w:rsidRPr="000F4314">
              <w:rPr>
                <w:bCs/>
              </w:rPr>
              <w:t>February</w:t>
            </w:r>
          </w:p>
        </w:tc>
        <w:tc>
          <w:tcPr>
            <w:tcW w:w="4602" w:type="dxa"/>
            <w:tcMar>
              <w:top w:w="57" w:type="dxa"/>
              <w:left w:w="57" w:type="dxa"/>
              <w:bottom w:w="57" w:type="dxa"/>
              <w:right w:w="57" w:type="dxa"/>
            </w:tcMar>
          </w:tcPr>
          <w:p w:rsidR="00F26EF8" w:rsidRPr="000F4314" w:rsidRDefault="00F26EF8" w:rsidP="00F26EF8">
            <w:pPr>
              <w:adjustRightInd w:val="0"/>
              <w:ind w:left="219"/>
              <w:rPr>
                <w:bCs/>
              </w:rPr>
            </w:pPr>
            <w:r w:rsidRPr="000F4314">
              <w:rPr>
                <w:bCs/>
              </w:rPr>
              <w:t>20</w:t>
            </w:r>
          </w:p>
        </w:tc>
      </w:tr>
      <w:tr w:rsidR="00F26EF8" w:rsidRPr="000F4314" w:rsidTr="00F26EF8">
        <w:tc>
          <w:tcPr>
            <w:tcW w:w="3186" w:type="dxa"/>
            <w:tcMar>
              <w:top w:w="57" w:type="dxa"/>
              <w:left w:w="57" w:type="dxa"/>
              <w:bottom w:w="57" w:type="dxa"/>
              <w:right w:w="57" w:type="dxa"/>
            </w:tcMar>
          </w:tcPr>
          <w:p w:rsidR="00F26EF8" w:rsidRPr="000F4314" w:rsidRDefault="00F26EF8" w:rsidP="00F26EF8">
            <w:pPr>
              <w:adjustRightInd w:val="0"/>
              <w:ind w:left="219"/>
              <w:rPr>
                <w:bCs/>
              </w:rPr>
            </w:pPr>
            <w:r w:rsidRPr="000F4314">
              <w:rPr>
                <w:bCs/>
              </w:rPr>
              <w:t>March</w:t>
            </w:r>
          </w:p>
        </w:tc>
        <w:tc>
          <w:tcPr>
            <w:tcW w:w="4602" w:type="dxa"/>
            <w:tcMar>
              <w:top w:w="57" w:type="dxa"/>
              <w:left w:w="57" w:type="dxa"/>
              <w:bottom w:w="57" w:type="dxa"/>
              <w:right w:w="57" w:type="dxa"/>
            </w:tcMar>
          </w:tcPr>
          <w:p w:rsidR="00F26EF8" w:rsidRPr="000F4314" w:rsidRDefault="00F26EF8" w:rsidP="00F26EF8">
            <w:pPr>
              <w:adjustRightInd w:val="0"/>
              <w:ind w:left="219"/>
              <w:rPr>
                <w:bCs/>
              </w:rPr>
            </w:pPr>
            <w:r w:rsidRPr="000F4314">
              <w:rPr>
                <w:bCs/>
              </w:rPr>
              <w:t>-</w:t>
            </w:r>
          </w:p>
        </w:tc>
      </w:tr>
      <w:tr w:rsidR="00F26EF8" w:rsidRPr="000F4314" w:rsidTr="00F26EF8">
        <w:tc>
          <w:tcPr>
            <w:tcW w:w="3186" w:type="dxa"/>
            <w:tcMar>
              <w:top w:w="57" w:type="dxa"/>
              <w:left w:w="57" w:type="dxa"/>
              <w:bottom w:w="57" w:type="dxa"/>
              <w:right w:w="57" w:type="dxa"/>
            </w:tcMar>
          </w:tcPr>
          <w:p w:rsidR="00F26EF8" w:rsidRPr="000F4314" w:rsidRDefault="00F26EF8" w:rsidP="00F26EF8">
            <w:pPr>
              <w:adjustRightInd w:val="0"/>
              <w:ind w:left="219"/>
              <w:rPr>
                <w:bCs/>
              </w:rPr>
            </w:pPr>
            <w:r w:rsidRPr="000F4314">
              <w:rPr>
                <w:bCs/>
              </w:rPr>
              <w:t>April</w:t>
            </w:r>
          </w:p>
        </w:tc>
        <w:tc>
          <w:tcPr>
            <w:tcW w:w="4602" w:type="dxa"/>
            <w:tcMar>
              <w:top w:w="57" w:type="dxa"/>
              <w:left w:w="57" w:type="dxa"/>
              <w:bottom w:w="57" w:type="dxa"/>
              <w:right w:w="57" w:type="dxa"/>
            </w:tcMar>
          </w:tcPr>
          <w:p w:rsidR="00F26EF8" w:rsidRPr="000F4314" w:rsidRDefault="00F26EF8" w:rsidP="00F26EF8">
            <w:pPr>
              <w:adjustRightInd w:val="0"/>
              <w:ind w:left="219"/>
              <w:rPr>
                <w:bCs/>
              </w:rPr>
            </w:pPr>
            <w:r w:rsidRPr="000F4314">
              <w:rPr>
                <w:bCs/>
              </w:rPr>
              <w:t>-</w:t>
            </w:r>
          </w:p>
        </w:tc>
      </w:tr>
      <w:tr w:rsidR="00F26EF8" w:rsidRPr="000F4314" w:rsidTr="00F26EF8">
        <w:tc>
          <w:tcPr>
            <w:tcW w:w="3186" w:type="dxa"/>
            <w:tcMar>
              <w:top w:w="57" w:type="dxa"/>
              <w:left w:w="57" w:type="dxa"/>
              <w:bottom w:w="57" w:type="dxa"/>
              <w:right w:w="57" w:type="dxa"/>
            </w:tcMar>
          </w:tcPr>
          <w:p w:rsidR="00F26EF8" w:rsidRPr="000F4314" w:rsidRDefault="00F26EF8" w:rsidP="00F26EF8">
            <w:pPr>
              <w:adjustRightInd w:val="0"/>
              <w:ind w:left="219"/>
              <w:rPr>
                <w:bCs/>
              </w:rPr>
            </w:pPr>
            <w:r w:rsidRPr="000F4314">
              <w:rPr>
                <w:bCs/>
              </w:rPr>
              <w:t>May</w:t>
            </w:r>
          </w:p>
        </w:tc>
        <w:tc>
          <w:tcPr>
            <w:tcW w:w="4602" w:type="dxa"/>
            <w:tcMar>
              <w:top w:w="57" w:type="dxa"/>
              <w:left w:w="57" w:type="dxa"/>
              <w:bottom w:w="57" w:type="dxa"/>
              <w:right w:w="57" w:type="dxa"/>
            </w:tcMar>
          </w:tcPr>
          <w:p w:rsidR="00F26EF8" w:rsidRPr="000F4314" w:rsidRDefault="00F26EF8" w:rsidP="00F26EF8">
            <w:pPr>
              <w:adjustRightInd w:val="0"/>
              <w:ind w:left="219"/>
              <w:rPr>
                <w:bCs/>
              </w:rPr>
            </w:pPr>
            <w:r w:rsidRPr="000F4314">
              <w:rPr>
                <w:bCs/>
              </w:rPr>
              <w:t>18</w:t>
            </w:r>
          </w:p>
        </w:tc>
      </w:tr>
      <w:tr w:rsidR="00F26EF8" w:rsidRPr="000F4314" w:rsidTr="00F26EF8">
        <w:tc>
          <w:tcPr>
            <w:tcW w:w="3186" w:type="dxa"/>
            <w:tcMar>
              <w:top w:w="57" w:type="dxa"/>
              <w:left w:w="57" w:type="dxa"/>
              <w:bottom w:w="57" w:type="dxa"/>
              <w:right w:w="57" w:type="dxa"/>
            </w:tcMar>
          </w:tcPr>
          <w:p w:rsidR="00F26EF8" w:rsidRPr="000F4314" w:rsidRDefault="00F26EF8" w:rsidP="00F26EF8">
            <w:pPr>
              <w:adjustRightInd w:val="0"/>
              <w:ind w:left="219"/>
              <w:rPr>
                <w:bCs/>
              </w:rPr>
            </w:pPr>
            <w:r w:rsidRPr="000F4314">
              <w:rPr>
                <w:bCs/>
              </w:rPr>
              <w:t>June</w:t>
            </w:r>
          </w:p>
        </w:tc>
        <w:tc>
          <w:tcPr>
            <w:tcW w:w="4602" w:type="dxa"/>
            <w:tcMar>
              <w:top w:w="57" w:type="dxa"/>
              <w:left w:w="57" w:type="dxa"/>
              <w:bottom w:w="57" w:type="dxa"/>
              <w:right w:w="57" w:type="dxa"/>
            </w:tcMar>
          </w:tcPr>
          <w:p w:rsidR="00F26EF8" w:rsidRPr="000F4314" w:rsidRDefault="00F26EF8" w:rsidP="00F26EF8">
            <w:pPr>
              <w:adjustRightInd w:val="0"/>
              <w:ind w:left="219"/>
              <w:rPr>
                <w:bCs/>
              </w:rPr>
            </w:pPr>
            <w:r w:rsidRPr="000F4314">
              <w:rPr>
                <w:bCs/>
              </w:rPr>
              <w:t>-</w:t>
            </w:r>
          </w:p>
        </w:tc>
      </w:tr>
      <w:tr w:rsidR="00F26EF8" w:rsidRPr="000F4314" w:rsidTr="00F26EF8">
        <w:tc>
          <w:tcPr>
            <w:tcW w:w="3186" w:type="dxa"/>
            <w:tcMar>
              <w:top w:w="57" w:type="dxa"/>
              <w:left w:w="57" w:type="dxa"/>
              <w:bottom w:w="57" w:type="dxa"/>
              <w:right w:w="57" w:type="dxa"/>
            </w:tcMar>
          </w:tcPr>
          <w:p w:rsidR="00F26EF8" w:rsidRPr="000F4314" w:rsidRDefault="00F26EF8" w:rsidP="00F26EF8">
            <w:pPr>
              <w:adjustRightInd w:val="0"/>
              <w:ind w:left="219"/>
              <w:rPr>
                <w:b/>
                <w:bCs/>
              </w:rPr>
            </w:pPr>
            <w:r w:rsidRPr="000F4314">
              <w:rPr>
                <w:b/>
                <w:bCs/>
              </w:rPr>
              <w:t>Total</w:t>
            </w:r>
          </w:p>
        </w:tc>
        <w:tc>
          <w:tcPr>
            <w:tcW w:w="4602" w:type="dxa"/>
            <w:tcMar>
              <w:top w:w="57" w:type="dxa"/>
              <w:left w:w="57" w:type="dxa"/>
              <w:bottom w:w="57" w:type="dxa"/>
              <w:right w:w="57" w:type="dxa"/>
            </w:tcMar>
          </w:tcPr>
          <w:p w:rsidR="00F26EF8" w:rsidRPr="000F4314" w:rsidRDefault="00F26EF8" w:rsidP="00F26EF8">
            <w:pPr>
              <w:adjustRightInd w:val="0"/>
              <w:ind w:left="219"/>
              <w:rPr>
                <w:b/>
                <w:bCs/>
              </w:rPr>
            </w:pPr>
            <w:r w:rsidRPr="000F4314">
              <w:rPr>
                <w:b/>
                <w:bCs/>
              </w:rPr>
              <w:t>108</w:t>
            </w:r>
          </w:p>
        </w:tc>
      </w:tr>
    </w:tbl>
    <w:p w:rsidR="00F26EF8" w:rsidRPr="000F4314" w:rsidRDefault="00F26EF8" w:rsidP="00F26EF8">
      <w:pPr>
        <w:adjustRightInd w:val="0"/>
        <w:spacing w:before="120" w:after="120"/>
        <w:ind w:left="851"/>
        <w:jc w:val="both"/>
      </w:pPr>
      <w:r w:rsidRPr="000F4314">
        <w:lastRenderedPageBreak/>
        <w:t xml:space="preserve">In that financial year, Shelly worked for a total of 108 days for Principal C.  This worked out to be 18 (108 days divided by 6 months) days per month.  Consequently, payments made by Principal C to Shelly are subject to payroll tax. </w:t>
      </w:r>
    </w:p>
    <w:p w:rsidR="00310E54" w:rsidRDefault="00310E54" w:rsidP="00F26EF8">
      <w:pPr>
        <w:adjustRightInd w:val="0"/>
        <w:ind w:left="851"/>
        <w:jc w:val="both"/>
        <w:rPr>
          <w:rFonts w:cs="Arial"/>
          <w:bCs/>
        </w:rPr>
      </w:pPr>
    </w:p>
    <w:p w:rsidR="00F44A8D" w:rsidRDefault="00F44A8D" w:rsidP="00F26EF8">
      <w:pPr>
        <w:adjustRightInd w:val="0"/>
        <w:ind w:left="851"/>
        <w:jc w:val="both"/>
        <w:rPr>
          <w:rFonts w:cs="Arial"/>
          <w:bCs/>
        </w:rPr>
      </w:pPr>
      <w:r>
        <w:rPr>
          <w:rFonts w:cs="Arial"/>
          <w:bCs/>
        </w:rPr>
        <w:t>SIGNED</w:t>
      </w:r>
    </w:p>
    <w:p w:rsidR="00F44A8D" w:rsidRPr="00564BD6" w:rsidRDefault="00F44A8D" w:rsidP="00F26EF8">
      <w:pPr>
        <w:adjustRightInd w:val="0"/>
        <w:ind w:left="851"/>
        <w:jc w:val="both"/>
        <w:rPr>
          <w:rFonts w:cs="Arial"/>
          <w:bCs/>
        </w:rPr>
      </w:pPr>
    </w:p>
    <w:p w:rsidR="00F44A8D" w:rsidRPr="00564BD6" w:rsidRDefault="00600611" w:rsidP="00F26EF8">
      <w:pPr>
        <w:adjustRightInd w:val="0"/>
        <w:ind w:left="851"/>
        <w:jc w:val="both"/>
        <w:rPr>
          <w:rFonts w:cs="Arial"/>
          <w:bCs/>
        </w:rPr>
      </w:pPr>
      <w:r>
        <w:rPr>
          <w:rFonts w:cs="Arial"/>
          <w:bCs/>
        </w:rPr>
        <w:t>David Read</w:t>
      </w:r>
    </w:p>
    <w:p w:rsidR="00F44A8D" w:rsidRPr="00564BD6" w:rsidRDefault="00F44A8D" w:rsidP="00F26EF8">
      <w:pPr>
        <w:adjustRightInd w:val="0"/>
        <w:ind w:left="851"/>
        <w:jc w:val="both"/>
        <w:rPr>
          <w:rFonts w:cs="Arial"/>
        </w:rPr>
      </w:pPr>
      <w:r w:rsidRPr="00564BD6">
        <w:rPr>
          <w:rFonts w:cs="Arial"/>
        </w:rPr>
        <w:t>Commissioner for ACT Revenue</w:t>
      </w:r>
    </w:p>
    <w:p w:rsidR="00F44A8D" w:rsidRPr="00310E54" w:rsidRDefault="00600611" w:rsidP="00F26EF8">
      <w:pPr>
        <w:adjustRightInd w:val="0"/>
        <w:ind w:left="851"/>
        <w:jc w:val="both"/>
        <w:rPr>
          <w:rFonts w:cs="Arial"/>
          <w:bCs/>
        </w:rPr>
      </w:pPr>
      <w:r>
        <w:rPr>
          <w:rFonts w:cs="Arial"/>
          <w:bCs/>
        </w:rPr>
        <w:t>30 June 2011</w:t>
      </w:r>
    </w:p>
    <w:sectPr w:rsidR="00F44A8D" w:rsidRPr="00310E54" w:rsidSect="00F26EF8">
      <w:pgSz w:w="11910" w:h="16840" w:code="9"/>
      <w:pgMar w:top="1100" w:right="1278" w:bottom="709" w:left="238"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692" w:rsidRDefault="00867692" w:rsidP="005B0828">
      <w:r>
        <w:separator/>
      </w:r>
    </w:p>
  </w:endnote>
  <w:endnote w:type="continuationSeparator" w:id="0">
    <w:p w:rsidR="00867692" w:rsidRDefault="00867692"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EF8" w:rsidRDefault="00F26EF8">
    <w:pPr>
      <w:pStyle w:val="BodyText"/>
      <w:overflowPunct w:val="0"/>
      <w:spacing w:line="12" w:lineRule="auto"/>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EF8" w:rsidRPr="00F44A8D" w:rsidRDefault="00F26EF8"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692" w:rsidRDefault="00867692" w:rsidP="005B0828">
      <w:r w:rsidRPr="005B0828">
        <w:rPr>
          <w:color w:val="000000"/>
        </w:rPr>
        <w:separator/>
      </w:r>
    </w:p>
  </w:footnote>
  <w:footnote w:type="continuationSeparator" w:id="0">
    <w:p w:rsidR="00867692" w:rsidRDefault="00867692" w:rsidP="005B0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EF8" w:rsidRDefault="00F26EF8" w:rsidP="00822F9C">
    <w:pPr>
      <w:pStyle w:val="Header"/>
      <w:tabs>
        <w:tab w:val="clear" w:pos="4513"/>
        <w:tab w:val="clear" w:pos="9026"/>
      </w:tabs>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3FFF4D5B"/>
    <w:multiLevelType w:val="hybridMultilevel"/>
    <w:tmpl w:val="CF6AA322"/>
    <w:lvl w:ilvl="0" w:tplc="E1565F5E">
      <w:start w:val="1"/>
      <w:numFmt w:val="lowerLetter"/>
      <w:lvlText w:val="(%1)"/>
      <w:lvlJc w:val="left"/>
      <w:pPr>
        <w:tabs>
          <w:tab w:val="num" w:pos="1440"/>
        </w:tabs>
        <w:ind w:left="1440" w:hanging="720"/>
      </w:pPr>
      <w:rPr>
        <w:rFonts w:cs="Times New Roman"/>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nsid w:val="62703636"/>
    <w:multiLevelType w:val="hybridMultilevel"/>
    <w:tmpl w:val="FE8E2788"/>
    <w:lvl w:ilvl="0" w:tplc="E1565F5E">
      <w:start w:val="1"/>
      <w:numFmt w:val="lowerLetter"/>
      <w:lvlText w:val="(%1)"/>
      <w:lvlJc w:val="left"/>
      <w:pPr>
        <w:tabs>
          <w:tab w:val="num" w:pos="1440"/>
        </w:tabs>
        <w:ind w:left="1440" w:hanging="720"/>
      </w:pPr>
      <w:rPr>
        <w:rFonts w:cs="Times New Roman"/>
      </w:rPr>
    </w:lvl>
    <w:lvl w:ilvl="1" w:tplc="0C090003">
      <w:start w:val="1"/>
      <w:numFmt w:val="bullet"/>
      <w:lvlText w:val="o"/>
      <w:lvlJc w:val="left"/>
      <w:pPr>
        <w:tabs>
          <w:tab w:val="num" w:pos="1877"/>
        </w:tabs>
        <w:ind w:left="1877" w:hanging="360"/>
      </w:pPr>
      <w:rPr>
        <w:rFonts w:ascii="Courier New" w:hAnsi="Courier New" w:hint="default"/>
      </w:rPr>
    </w:lvl>
    <w:lvl w:ilvl="2" w:tplc="0C090005">
      <w:start w:val="1"/>
      <w:numFmt w:val="bullet"/>
      <w:lvlText w:val=""/>
      <w:lvlJc w:val="left"/>
      <w:pPr>
        <w:tabs>
          <w:tab w:val="num" w:pos="2597"/>
        </w:tabs>
        <w:ind w:left="2597" w:hanging="360"/>
      </w:pPr>
      <w:rPr>
        <w:rFonts w:ascii="Wingdings" w:hAnsi="Wingdings" w:hint="default"/>
      </w:rPr>
    </w:lvl>
    <w:lvl w:ilvl="3" w:tplc="0C090001">
      <w:start w:val="1"/>
      <w:numFmt w:val="bullet"/>
      <w:lvlText w:val=""/>
      <w:lvlJc w:val="left"/>
      <w:pPr>
        <w:tabs>
          <w:tab w:val="num" w:pos="3317"/>
        </w:tabs>
        <w:ind w:left="3317" w:hanging="360"/>
      </w:pPr>
      <w:rPr>
        <w:rFonts w:ascii="Symbol" w:hAnsi="Symbol" w:hint="default"/>
      </w:rPr>
    </w:lvl>
    <w:lvl w:ilvl="4" w:tplc="0C090003">
      <w:start w:val="1"/>
      <w:numFmt w:val="bullet"/>
      <w:lvlText w:val="o"/>
      <w:lvlJc w:val="left"/>
      <w:pPr>
        <w:tabs>
          <w:tab w:val="num" w:pos="4037"/>
        </w:tabs>
        <w:ind w:left="4037" w:hanging="360"/>
      </w:pPr>
      <w:rPr>
        <w:rFonts w:ascii="Courier New" w:hAnsi="Courier New" w:hint="default"/>
      </w:rPr>
    </w:lvl>
    <w:lvl w:ilvl="5" w:tplc="0C090005">
      <w:start w:val="1"/>
      <w:numFmt w:val="bullet"/>
      <w:lvlText w:val=""/>
      <w:lvlJc w:val="left"/>
      <w:pPr>
        <w:tabs>
          <w:tab w:val="num" w:pos="4757"/>
        </w:tabs>
        <w:ind w:left="4757" w:hanging="360"/>
      </w:pPr>
      <w:rPr>
        <w:rFonts w:ascii="Wingdings" w:hAnsi="Wingdings" w:hint="default"/>
      </w:rPr>
    </w:lvl>
    <w:lvl w:ilvl="6" w:tplc="0C090001">
      <w:start w:val="1"/>
      <w:numFmt w:val="bullet"/>
      <w:lvlText w:val=""/>
      <w:lvlJc w:val="left"/>
      <w:pPr>
        <w:tabs>
          <w:tab w:val="num" w:pos="5477"/>
        </w:tabs>
        <w:ind w:left="5477" w:hanging="360"/>
      </w:pPr>
      <w:rPr>
        <w:rFonts w:ascii="Symbol" w:hAnsi="Symbol" w:hint="default"/>
      </w:rPr>
    </w:lvl>
    <w:lvl w:ilvl="7" w:tplc="0C090003">
      <w:start w:val="1"/>
      <w:numFmt w:val="bullet"/>
      <w:lvlText w:val="o"/>
      <w:lvlJc w:val="left"/>
      <w:pPr>
        <w:tabs>
          <w:tab w:val="num" w:pos="6197"/>
        </w:tabs>
        <w:ind w:left="6197" w:hanging="360"/>
      </w:pPr>
      <w:rPr>
        <w:rFonts w:ascii="Courier New" w:hAnsi="Courier New" w:hint="default"/>
      </w:rPr>
    </w:lvl>
    <w:lvl w:ilvl="8" w:tplc="0C090005">
      <w:start w:val="1"/>
      <w:numFmt w:val="bullet"/>
      <w:lvlText w:val=""/>
      <w:lvlJc w:val="left"/>
      <w:pPr>
        <w:tabs>
          <w:tab w:val="num" w:pos="6917"/>
        </w:tabs>
        <w:ind w:left="6917"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828"/>
    <w:rsid w:val="00042012"/>
    <w:rsid w:val="000D649E"/>
    <w:rsid w:val="000D64C3"/>
    <w:rsid w:val="00181766"/>
    <w:rsid w:val="00193116"/>
    <w:rsid w:val="00210C1D"/>
    <w:rsid w:val="002240B1"/>
    <w:rsid w:val="00244887"/>
    <w:rsid w:val="00260354"/>
    <w:rsid w:val="00275FAE"/>
    <w:rsid w:val="0029628F"/>
    <w:rsid w:val="00310E54"/>
    <w:rsid w:val="00391CB7"/>
    <w:rsid w:val="005B0828"/>
    <w:rsid w:val="00600611"/>
    <w:rsid w:val="00613569"/>
    <w:rsid w:val="006B0ECA"/>
    <w:rsid w:val="006B2035"/>
    <w:rsid w:val="00712A2B"/>
    <w:rsid w:val="00741D14"/>
    <w:rsid w:val="00822F9C"/>
    <w:rsid w:val="00867692"/>
    <w:rsid w:val="008B1CDE"/>
    <w:rsid w:val="0096709E"/>
    <w:rsid w:val="00A812EA"/>
    <w:rsid w:val="00AD4741"/>
    <w:rsid w:val="00AF7801"/>
    <w:rsid w:val="00B66DC2"/>
    <w:rsid w:val="00BB7D19"/>
    <w:rsid w:val="00BE0B6D"/>
    <w:rsid w:val="00BF64D2"/>
    <w:rsid w:val="00C24521"/>
    <w:rsid w:val="00C82405"/>
    <w:rsid w:val="00C8554F"/>
    <w:rsid w:val="00CC2762"/>
    <w:rsid w:val="00CD0ACD"/>
    <w:rsid w:val="00CD6913"/>
    <w:rsid w:val="00D908F9"/>
    <w:rsid w:val="00DA0B26"/>
    <w:rsid w:val="00DA6ED5"/>
    <w:rsid w:val="00F26EF8"/>
    <w:rsid w:val="00F44A8D"/>
    <w:rsid w:val="00F734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2DBD8E-1A88-4D18-AAFA-8E2BF46B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999</Words>
  <Characters>5021</Characters>
  <Application>Microsoft Office Word</Application>
  <DocSecurity>0</DocSecurity>
  <Lines>150</Lines>
  <Paragraphs>104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2017-05-08T23:51:00Z</cp:lastPrinted>
  <dcterms:created xsi:type="dcterms:W3CDTF">2019-07-22T02:30:00Z</dcterms:created>
  <dcterms:modified xsi:type="dcterms:W3CDTF">2019-07-22T02:31:00Z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