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D45C15" w:rsidP="00071479">
      <w:pPr>
        <w:pStyle w:val="BodyText"/>
        <w:overflowPunct w:val="0"/>
        <w:ind w:left="-238"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style="mso-next-textbox:#Text Box 3">
              <w:txbxContent>
                <w:p w:rsidR="00071479" w:rsidRPr="006B0ECA" w:rsidRDefault="00071479">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style="mso-next-textbox:#Rectangle 8">
              <w:txbxContent>
                <w:p w:rsidR="00071479" w:rsidRPr="00D908F9" w:rsidRDefault="00071479"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Default="006B0ECA" w:rsidP="00071479">
      <w:pPr>
        <w:ind w:left="993" w:right="-1135"/>
        <w:jc w:val="both"/>
        <w:rPr>
          <w:rFonts w:asciiTheme="minorHAnsi" w:hAnsiTheme="minorHAnsi"/>
        </w:rPr>
      </w:pPr>
    </w:p>
    <w:tbl>
      <w:tblPr>
        <w:tblW w:w="4394"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532"/>
      </w:tblGrid>
      <w:tr w:rsidR="00071479" w:rsidRPr="00404085" w:rsidTr="00071479">
        <w:trPr>
          <w:cantSplit/>
        </w:trPr>
        <w:tc>
          <w:tcPr>
            <w:tcW w:w="9532" w:type="dxa"/>
            <w:tcBorders>
              <w:top w:val="single" w:sz="4" w:space="0" w:color="0D0D0D"/>
              <w:left w:val="single" w:sz="4" w:space="0" w:color="0D0D0D"/>
              <w:bottom w:val="single" w:sz="4" w:space="0" w:color="0D0D0D"/>
              <w:right w:val="single" w:sz="4" w:space="0" w:color="0D0D0D"/>
            </w:tcBorders>
            <w:shd w:val="clear" w:color="auto" w:fill="D9D9D9"/>
          </w:tcPr>
          <w:p w:rsidR="00071479" w:rsidRPr="00705A5A" w:rsidRDefault="00071479" w:rsidP="00071479">
            <w:pPr>
              <w:jc w:val="both"/>
              <w:rPr>
                <w:b/>
                <w:lang w:eastAsia="en-US"/>
              </w:rPr>
            </w:pPr>
            <w:r>
              <w:rPr>
                <w:b/>
                <w:lang w:eastAsia="en-US"/>
              </w:rPr>
              <w:t>REVENUE CIRCULAR PTA010</w:t>
            </w:r>
          </w:p>
        </w:tc>
      </w:tr>
      <w:tr w:rsidR="00071479" w:rsidRPr="00404085" w:rsidTr="00071479">
        <w:trPr>
          <w:cantSplit/>
        </w:trPr>
        <w:tc>
          <w:tcPr>
            <w:tcW w:w="9532" w:type="dxa"/>
            <w:tcBorders>
              <w:top w:val="single" w:sz="4" w:space="0" w:color="0D0D0D"/>
              <w:left w:val="single" w:sz="4" w:space="0" w:color="0D0D0D"/>
              <w:bottom w:val="single" w:sz="4" w:space="0" w:color="0D0D0D"/>
              <w:right w:val="single" w:sz="4" w:space="0" w:color="0D0D0D"/>
            </w:tcBorders>
            <w:shd w:val="clear" w:color="auto" w:fill="auto"/>
          </w:tcPr>
          <w:p w:rsidR="00071479" w:rsidRPr="00404085" w:rsidRDefault="00071479" w:rsidP="00071479">
            <w:pPr>
              <w:jc w:val="both"/>
              <w:rPr>
                <w:lang w:eastAsia="en-US"/>
              </w:rPr>
            </w:pPr>
            <w:r>
              <w:rPr>
                <w:lang w:eastAsia="en-US"/>
              </w:rPr>
              <w:t xml:space="preserve">Wages Subsidies – </w:t>
            </w:r>
            <w:r w:rsidRPr="00F44A8D">
              <w:rPr>
                <w:i/>
                <w:lang w:eastAsia="en-US"/>
              </w:rPr>
              <w:t>Payroll Tax Act 2011</w:t>
            </w:r>
          </w:p>
        </w:tc>
      </w:tr>
      <w:tr w:rsidR="00071479" w:rsidRPr="00404085" w:rsidTr="00071479">
        <w:trPr>
          <w:cantSplit/>
        </w:trPr>
        <w:tc>
          <w:tcPr>
            <w:tcW w:w="9532" w:type="dxa"/>
            <w:tcBorders>
              <w:top w:val="single" w:sz="4" w:space="0" w:color="0D0D0D"/>
              <w:left w:val="single" w:sz="4" w:space="0" w:color="0D0D0D"/>
              <w:bottom w:val="single" w:sz="4" w:space="0" w:color="0D0D0D"/>
              <w:right w:val="single" w:sz="4" w:space="0" w:color="0D0D0D"/>
            </w:tcBorders>
            <w:shd w:val="clear" w:color="auto" w:fill="auto"/>
          </w:tcPr>
          <w:p w:rsidR="00071479" w:rsidRPr="00404085" w:rsidRDefault="00071479" w:rsidP="00071479">
            <w:pPr>
              <w:jc w:val="both"/>
              <w:rPr>
                <w:lang w:eastAsia="en-US"/>
              </w:rPr>
            </w:pPr>
            <w:r>
              <w:rPr>
                <w:lang w:eastAsia="en-US"/>
              </w:rPr>
              <w:t>Issue Date: 30 June 2011</w:t>
            </w:r>
          </w:p>
        </w:tc>
      </w:tr>
      <w:tr w:rsidR="00071479" w:rsidRPr="00404085" w:rsidTr="00071479">
        <w:trPr>
          <w:cantSplit/>
        </w:trPr>
        <w:tc>
          <w:tcPr>
            <w:tcW w:w="9532" w:type="dxa"/>
            <w:tcBorders>
              <w:top w:val="single" w:sz="4" w:space="0" w:color="0D0D0D"/>
              <w:left w:val="single" w:sz="4" w:space="0" w:color="0D0D0D"/>
              <w:bottom w:val="single" w:sz="4" w:space="0" w:color="0D0D0D"/>
              <w:right w:val="single" w:sz="4" w:space="0" w:color="0D0D0D"/>
            </w:tcBorders>
            <w:shd w:val="clear" w:color="auto" w:fill="auto"/>
          </w:tcPr>
          <w:p w:rsidR="00071479" w:rsidRPr="00404085" w:rsidRDefault="00071479" w:rsidP="00071479">
            <w:pPr>
              <w:jc w:val="both"/>
            </w:pPr>
            <w:r>
              <w:t>Status: Current – Effective 1 July 2011</w:t>
            </w:r>
          </w:p>
        </w:tc>
      </w:tr>
      <w:tr w:rsidR="00071479" w:rsidRPr="00404085" w:rsidTr="00071479">
        <w:trPr>
          <w:cantSplit/>
        </w:trPr>
        <w:tc>
          <w:tcPr>
            <w:tcW w:w="9532" w:type="dxa"/>
            <w:tcBorders>
              <w:top w:val="single" w:sz="4" w:space="0" w:color="0D0D0D"/>
              <w:left w:val="single" w:sz="4" w:space="0" w:color="0D0D0D"/>
              <w:bottom w:val="single" w:sz="4" w:space="0" w:color="0D0D0D"/>
              <w:right w:val="single" w:sz="4" w:space="0" w:color="0D0D0D"/>
            </w:tcBorders>
            <w:shd w:val="clear" w:color="auto" w:fill="auto"/>
          </w:tcPr>
          <w:p w:rsidR="00071479" w:rsidRDefault="00071479" w:rsidP="00071479">
            <w:pPr>
              <w:jc w:val="both"/>
            </w:pPr>
            <w:r>
              <w:t>Previous Circular: PTX010</w:t>
            </w:r>
          </w:p>
        </w:tc>
      </w:tr>
    </w:tbl>
    <w:p w:rsidR="00071479" w:rsidRDefault="00071479" w:rsidP="00071479">
      <w:pPr>
        <w:pStyle w:val="Heading1"/>
        <w:spacing w:before="120" w:after="120" w:line="240" w:lineRule="auto"/>
        <w:ind w:left="1701" w:hanging="567"/>
        <w:jc w:val="both"/>
      </w:pPr>
      <w:r>
        <w:t>Preamble</w:t>
      </w:r>
    </w:p>
    <w:p w:rsidR="00071479" w:rsidRDefault="00071479" w:rsidP="00071479">
      <w:pPr>
        <w:adjustRightInd w:val="0"/>
        <w:spacing w:before="120" w:after="120"/>
        <w:ind w:left="1134"/>
        <w:jc w:val="both"/>
        <w:rPr>
          <w:rFonts w:cs="Arial"/>
        </w:rPr>
      </w:pPr>
      <w:r w:rsidRPr="0066664F">
        <w:rPr>
          <w:rFonts w:cs="Arial"/>
        </w:rPr>
        <w:t xml:space="preserve">The </w:t>
      </w:r>
      <w:r w:rsidRPr="0066664F">
        <w:rPr>
          <w:rFonts w:cs="Arial"/>
          <w:i/>
        </w:rPr>
        <w:t>Payroll Tax Act 2011</w:t>
      </w:r>
      <w:r w:rsidRPr="0066664F">
        <w:rPr>
          <w:rFonts w:cs="Arial"/>
        </w:rPr>
        <w:t xml:space="preserve"> (the Act), which </w:t>
      </w:r>
      <w:r w:rsidRPr="00844E24">
        <w:rPr>
          <w:rFonts w:cs="Arial"/>
        </w:rPr>
        <w:t>commenced on 1 July 2011</w:t>
      </w:r>
      <w:r w:rsidRPr="0066664F">
        <w:rPr>
          <w:rFonts w:cs="Arial"/>
        </w:rPr>
        <w:t xml:space="preserve">, rewrites the </w:t>
      </w:r>
      <w:r w:rsidRPr="000715D3">
        <w:rPr>
          <w:rFonts w:cs="Arial"/>
          <w:i/>
        </w:rPr>
        <w:t>Payroll Tax Act 1987</w:t>
      </w:r>
      <w:r w:rsidRPr="0066664F">
        <w:rPr>
          <w:rFonts w:cs="Arial"/>
        </w:rPr>
        <w:t xml:space="preserve"> (the 1987 Act) and harmonises the payroll tax legislation </w:t>
      </w:r>
      <w:r>
        <w:rPr>
          <w:rFonts w:cs="Arial"/>
        </w:rPr>
        <w:t>in the Australian jurisdictions.</w:t>
      </w:r>
      <w:r w:rsidRPr="0066664F">
        <w:rPr>
          <w:rFonts w:cs="Arial"/>
        </w:rPr>
        <w:t xml:space="preserve">  </w:t>
      </w:r>
    </w:p>
    <w:p w:rsidR="00071479" w:rsidRPr="009A4CFE" w:rsidRDefault="00071479" w:rsidP="00071479">
      <w:pPr>
        <w:adjustRightInd w:val="0"/>
        <w:spacing w:before="120" w:after="120"/>
        <w:ind w:left="1701" w:hanging="425"/>
        <w:jc w:val="both"/>
        <w:rPr>
          <w:rFonts w:cs="Arial"/>
          <w:color w:val="000000"/>
        </w:rPr>
      </w:pPr>
      <w:r w:rsidRPr="009A4CFE">
        <w:rPr>
          <w:rFonts w:cs="Arial"/>
          <w:color w:val="000000"/>
        </w:rPr>
        <w:t>1.</w:t>
      </w:r>
      <w:r w:rsidRPr="009A4CFE">
        <w:rPr>
          <w:rFonts w:cs="Arial"/>
          <w:color w:val="000000"/>
        </w:rPr>
        <w:tab/>
        <w:t>From time to time, an employer may be eligible to receive a subsidy or partial reimbursement of wages paid from government authorities where the nature of employment accords with particular government policies. Under these circumstances, uncertainty may arise as to the amount that must be declared as wages.</w:t>
      </w:r>
    </w:p>
    <w:p w:rsidR="00071479" w:rsidRPr="009A4CFE" w:rsidRDefault="00071479" w:rsidP="00071479">
      <w:pPr>
        <w:adjustRightInd w:val="0"/>
        <w:spacing w:before="120" w:after="60"/>
        <w:ind w:left="1701" w:hanging="425"/>
        <w:jc w:val="both"/>
        <w:rPr>
          <w:rFonts w:cs="Arial"/>
          <w:color w:val="000000"/>
        </w:rPr>
      </w:pPr>
      <w:r w:rsidRPr="009A4CFE">
        <w:rPr>
          <w:rFonts w:cs="Arial"/>
          <w:color w:val="000000"/>
        </w:rPr>
        <w:t>2.</w:t>
      </w:r>
      <w:r w:rsidRPr="009A4CFE">
        <w:rPr>
          <w:rFonts w:cs="Arial"/>
          <w:color w:val="000000"/>
        </w:rPr>
        <w:tab/>
        <w:t xml:space="preserve">The purpose of this circular is to clarify that where a wage subsidy has been received, the full amount of gross wages paid or payable to employees is subject to payroll tax under the </w:t>
      </w:r>
      <w:r>
        <w:rPr>
          <w:rFonts w:cs="Arial"/>
          <w:color w:val="000000"/>
        </w:rPr>
        <w:t>Act.</w:t>
      </w:r>
    </w:p>
    <w:p w:rsidR="00071479" w:rsidRDefault="00071479" w:rsidP="00071479">
      <w:pPr>
        <w:pStyle w:val="Heading1"/>
        <w:ind w:left="1134" w:firstLine="0"/>
        <w:jc w:val="both"/>
        <w:rPr>
          <w:rFonts w:asciiTheme="minorHAnsi" w:hAnsiTheme="minorHAnsi"/>
        </w:rPr>
      </w:pPr>
      <w:r w:rsidRPr="00AD4741">
        <w:rPr>
          <w:rFonts w:asciiTheme="minorHAnsi" w:hAnsiTheme="minorHAnsi"/>
        </w:rPr>
        <w:t>Circular</w:t>
      </w:r>
    </w:p>
    <w:p w:rsidR="00071479" w:rsidRPr="00A625E4" w:rsidRDefault="00071479" w:rsidP="00071479">
      <w:pPr>
        <w:adjustRightInd w:val="0"/>
        <w:spacing w:before="60" w:after="60"/>
        <w:ind w:left="1134"/>
        <w:jc w:val="both"/>
        <w:outlineLvl w:val="1"/>
        <w:rPr>
          <w:rFonts w:cs="Arial"/>
          <w:b/>
          <w:iCs/>
          <w:sz w:val="26"/>
          <w:szCs w:val="26"/>
        </w:rPr>
      </w:pPr>
      <w:r>
        <w:rPr>
          <w:rFonts w:cs="Arial"/>
          <w:b/>
          <w:iCs/>
          <w:sz w:val="26"/>
          <w:szCs w:val="26"/>
        </w:rPr>
        <w:t>Wage Subsidies</w:t>
      </w:r>
    </w:p>
    <w:p w:rsidR="00071479" w:rsidRPr="009A4CFE" w:rsidRDefault="00071479" w:rsidP="00071479">
      <w:pPr>
        <w:adjustRightInd w:val="0"/>
        <w:spacing w:before="120" w:after="120"/>
        <w:ind w:left="1701" w:hanging="425"/>
        <w:jc w:val="both"/>
        <w:rPr>
          <w:rFonts w:cs="Arial"/>
          <w:color w:val="000000"/>
        </w:rPr>
      </w:pPr>
      <w:r w:rsidRPr="009A4CFE">
        <w:rPr>
          <w:rFonts w:cs="Arial"/>
          <w:color w:val="000000"/>
        </w:rPr>
        <w:t>3.</w:t>
      </w:r>
      <w:r w:rsidRPr="009A4CFE">
        <w:rPr>
          <w:rFonts w:cs="Arial"/>
          <w:color w:val="000000"/>
        </w:rPr>
        <w:tab/>
        <w:t xml:space="preserve">If an employer receives a subsidy from a government authority (whether State, other Territory, or Commonwealth) in respect of wages paid to workers (e.g.  </w:t>
      </w:r>
      <w:proofErr w:type="gramStart"/>
      <w:r w:rsidRPr="009A4CFE">
        <w:rPr>
          <w:rFonts w:cs="Arial"/>
          <w:color w:val="000000"/>
        </w:rPr>
        <w:t>a</w:t>
      </w:r>
      <w:proofErr w:type="gramEnd"/>
      <w:r w:rsidRPr="009A4CFE">
        <w:rPr>
          <w:rFonts w:cs="Arial"/>
          <w:color w:val="000000"/>
        </w:rPr>
        <w:t xml:space="preserve"> subsidy under the Wage Assistance Program), the gross wages remain subject to payroll tax.  The source of the funds used to pay wages to employees is not relevant in determining the payroll tax liability.  In addition, the employer does not cease to be an employer merely because a wa</w:t>
      </w:r>
      <w:r>
        <w:rPr>
          <w:rFonts w:cs="Arial"/>
          <w:color w:val="000000"/>
        </w:rPr>
        <w:t xml:space="preserve">ge subsidy has been received. </w:t>
      </w:r>
    </w:p>
    <w:p w:rsidR="00071479" w:rsidRPr="00E3552D" w:rsidRDefault="00071479" w:rsidP="00071479">
      <w:pPr>
        <w:ind w:left="1134" w:right="45"/>
        <w:jc w:val="both"/>
        <w:rPr>
          <w:rFonts w:cs="Arial"/>
          <w:szCs w:val="23"/>
        </w:rPr>
      </w:pPr>
    </w:p>
    <w:p w:rsidR="00071479" w:rsidRDefault="00071479" w:rsidP="00071479">
      <w:pPr>
        <w:adjustRightInd w:val="0"/>
        <w:ind w:left="1134" w:right="45"/>
        <w:jc w:val="both"/>
        <w:rPr>
          <w:rFonts w:cs="Arial"/>
          <w:bCs/>
        </w:rPr>
      </w:pPr>
      <w:r>
        <w:rPr>
          <w:rFonts w:cs="Arial"/>
          <w:bCs/>
        </w:rPr>
        <w:t>SIGNED</w:t>
      </w:r>
    </w:p>
    <w:p w:rsidR="00071479" w:rsidRPr="00E3552D" w:rsidRDefault="00071479" w:rsidP="00071479">
      <w:pPr>
        <w:adjustRightInd w:val="0"/>
        <w:ind w:left="1134" w:right="45"/>
        <w:jc w:val="both"/>
        <w:rPr>
          <w:rFonts w:cs="Arial"/>
          <w:bCs/>
        </w:rPr>
      </w:pPr>
    </w:p>
    <w:p w:rsidR="00071479" w:rsidRPr="00E3552D" w:rsidRDefault="00071479" w:rsidP="00071479">
      <w:pPr>
        <w:adjustRightInd w:val="0"/>
        <w:ind w:left="1134" w:right="45"/>
        <w:jc w:val="both"/>
        <w:rPr>
          <w:rFonts w:cs="Arial"/>
          <w:bCs/>
        </w:rPr>
      </w:pPr>
      <w:r>
        <w:rPr>
          <w:rFonts w:cs="Arial"/>
          <w:bCs/>
        </w:rPr>
        <w:t>David Read</w:t>
      </w:r>
    </w:p>
    <w:p w:rsidR="00071479" w:rsidRPr="00E3552D" w:rsidRDefault="00071479" w:rsidP="00071479">
      <w:pPr>
        <w:adjustRightInd w:val="0"/>
        <w:ind w:left="1134" w:right="45"/>
        <w:jc w:val="both"/>
        <w:rPr>
          <w:rFonts w:cs="Arial"/>
        </w:rPr>
      </w:pPr>
      <w:r w:rsidRPr="00E3552D">
        <w:rPr>
          <w:rFonts w:cs="Arial"/>
        </w:rPr>
        <w:t>Commissioner for ACT Revenue</w:t>
      </w:r>
    </w:p>
    <w:p w:rsidR="00071479" w:rsidRDefault="00071479" w:rsidP="00071479">
      <w:pPr>
        <w:adjustRightInd w:val="0"/>
        <w:ind w:left="1134" w:right="45"/>
        <w:jc w:val="both"/>
        <w:rPr>
          <w:rFonts w:cs="Arial"/>
          <w:bCs/>
        </w:rPr>
      </w:pPr>
      <w:r>
        <w:rPr>
          <w:rFonts w:cs="Arial"/>
          <w:bCs/>
        </w:rPr>
        <w:t>30 June 2011</w:t>
      </w:r>
    </w:p>
    <w:p w:rsidR="00071479" w:rsidRPr="00CD6913" w:rsidRDefault="00071479" w:rsidP="00071479">
      <w:pPr>
        <w:ind w:left="1134" w:right="-1135"/>
        <w:jc w:val="both"/>
        <w:rPr>
          <w:rFonts w:asciiTheme="minorHAnsi" w:hAnsiTheme="minorHAnsi"/>
        </w:rPr>
      </w:pPr>
    </w:p>
    <w:sectPr w:rsidR="00071479" w:rsidRPr="00CD6913" w:rsidSect="00071479">
      <w:footerReference w:type="default" r:id="rId9"/>
      <w:pgSz w:w="11910" w:h="16840" w:code="9"/>
      <w:pgMar w:top="-15" w:right="1137" w:bottom="1100" w:left="142"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479" w:rsidRDefault="00071479" w:rsidP="005B0828">
      <w:r>
        <w:separator/>
      </w:r>
    </w:p>
  </w:endnote>
  <w:endnote w:type="continuationSeparator" w:id="0">
    <w:p w:rsidR="00071479" w:rsidRDefault="00071479"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479" w:rsidRPr="00F44A8D" w:rsidRDefault="00071479" w:rsidP="00071479">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p w:rsidR="00071479" w:rsidRDefault="000714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479" w:rsidRDefault="00071479" w:rsidP="005B0828">
      <w:r w:rsidRPr="005B0828">
        <w:rPr>
          <w:color w:val="000000"/>
        </w:rPr>
        <w:separator/>
      </w:r>
    </w:p>
  </w:footnote>
  <w:footnote w:type="continuationSeparator" w:id="0">
    <w:p w:rsidR="00071479" w:rsidRDefault="00071479" w:rsidP="005B08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14FC2C71"/>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nsid w:val="453845B3"/>
    <w:multiLevelType w:val="hybridMultilevel"/>
    <w:tmpl w:val="668EF11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nsid w:val="798D6C55"/>
    <w:multiLevelType w:val="hybridMultilevel"/>
    <w:tmpl w:val="7D14D7B6"/>
    <w:lvl w:ilvl="0" w:tplc="E1565F5E">
      <w:start w:val="1"/>
      <w:numFmt w:val="lowerLetter"/>
      <w:lvlText w:val="(%1)"/>
      <w:lvlJc w:val="left"/>
      <w:pPr>
        <w:tabs>
          <w:tab w:val="num" w:pos="1004"/>
        </w:tabs>
        <w:ind w:left="1004" w:hanging="720"/>
      </w:pPr>
      <w:rPr>
        <w:rFonts w:cs="Times New Roman" w:hint="default"/>
      </w:rPr>
    </w:lvl>
    <w:lvl w:ilvl="1" w:tplc="0C090003" w:tentative="1">
      <w:start w:val="1"/>
      <w:numFmt w:val="bullet"/>
      <w:lvlText w:val="o"/>
      <w:lvlJc w:val="left"/>
      <w:pPr>
        <w:tabs>
          <w:tab w:val="num" w:pos="1441"/>
        </w:tabs>
        <w:ind w:left="1441" w:hanging="360"/>
      </w:pPr>
      <w:rPr>
        <w:rFonts w:ascii="Courier New" w:hAnsi="Courier New" w:hint="default"/>
      </w:rPr>
    </w:lvl>
    <w:lvl w:ilvl="2" w:tplc="0C090005" w:tentative="1">
      <w:start w:val="1"/>
      <w:numFmt w:val="bullet"/>
      <w:lvlText w:val=""/>
      <w:lvlJc w:val="left"/>
      <w:pPr>
        <w:tabs>
          <w:tab w:val="num" w:pos="2161"/>
        </w:tabs>
        <w:ind w:left="2161" w:hanging="360"/>
      </w:pPr>
      <w:rPr>
        <w:rFonts w:ascii="Wingdings" w:hAnsi="Wingdings" w:hint="default"/>
      </w:rPr>
    </w:lvl>
    <w:lvl w:ilvl="3" w:tplc="0C090001" w:tentative="1">
      <w:start w:val="1"/>
      <w:numFmt w:val="bullet"/>
      <w:lvlText w:val=""/>
      <w:lvlJc w:val="left"/>
      <w:pPr>
        <w:tabs>
          <w:tab w:val="num" w:pos="2881"/>
        </w:tabs>
        <w:ind w:left="2881" w:hanging="360"/>
      </w:pPr>
      <w:rPr>
        <w:rFonts w:ascii="Symbol" w:hAnsi="Symbol" w:hint="default"/>
      </w:rPr>
    </w:lvl>
    <w:lvl w:ilvl="4" w:tplc="0C090003" w:tentative="1">
      <w:start w:val="1"/>
      <w:numFmt w:val="bullet"/>
      <w:lvlText w:val="o"/>
      <w:lvlJc w:val="left"/>
      <w:pPr>
        <w:tabs>
          <w:tab w:val="num" w:pos="3601"/>
        </w:tabs>
        <w:ind w:left="3601" w:hanging="360"/>
      </w:pPr>
      <w:rPr>
        <w:rFonts w:ascii="Courier New" w:hAnsi="Courier New" w:hint="default"/>
      </w:rPr>
    </w:lvl>
    <w:lvl w:ilvl="5" w:tplc="0C090005" w:tentative="1">
      <w:start w:val="1"/>
      <w:numFmt w:val="bullet"/>
      <w:lvlText w:val=""/>
      <w:lvlJc w:val="left"/>
      <w:pPr>
        <w:tabs>
          <w:tab w:val="num" w:pos="4321"/>
        </w:tabs>
        <w:ind w:left="4321" w:hanging="360"/>
      </w:pPr>
      <w:rPr>
        <w:rFonts w:ascii="Wingdings" w:hAnsi="Wingdings" w:hint="default"/>
      </w:rPr>
    </w:lvl>
    <w:lvl w:ilvl="6" w:tplc="0C090001" w:tentative="1">
      <w:start w:val="1"/>
      <w:numFmt w:val="bullet"/>
      <w:lvlText w:val=""/>
      <w:lvlJc w:val="left"/>
      <w:pPr>
        <w:tabs>
          <w:tab w:val="num" w:pos="5041"/>
        </w:tabs>
        <w:ind w:left="5041" w:hanging="360"/>
      </w:pPr>
      <w:rPr>
        <w:rFonts w:ascii="Symbol" w:hAnsi="Symbol" w:hint="default"/>
      </w:rPr>
    </w:lvl>
    <w:lvl w:ilvl="7" w:tplc="0C090003" w:tentative="1">
      <w:start w:val="1"/>
      <w:numFmt w:val="bullet"/>
      <w:lvlText w:val="o"/>
      <w:lvlJc w:val="left"/>
      <w:pPr>
        <w:tabs>
          <w:tab w:val="num" w:pos="5761"/>
        </w:tabs>
        <w:ind w:left="5761" w:hanging="360"/>
      </w:pPr>
      <w:rPr>
        <w:rFonts w:ascii="Courier New" w:hAnsi="Courier New" w:hint="default"/>
      </w:rPr>
    </w:lvl>
    <w:lvl w:ilvl="8" w:tplc="0C090005" w:tentative="1">
      <w:start w:val="1"/>
      <w:numFmt w:val="bullet"/>
      <w:lvlText w:val=""/>
      <w:lvlJc w:val="left"/>
      <w:pPr>
        <w:tabs>
          <w:tab w:val="num" w:pos="6481"/>
        </w:tabs>
        <w:ind w:left="6481"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5B0828"/>
    <w:rsid w:val="00003ABC"/>
    <w:rsid w:val="00071479"/>
    <w:rsid w:val="000A01C8"/>
    <w:rsid w:val="000D649E"/>
    <w:rsid w:val="000D64C3"/>
    <w:rsid w:val="00193116"/>
    <w:rsid w:val="001C32ED"/>
    <w:rsid w:val="00210C1D"/>
    <w:rsid w:val="002240B1"/>
    <w:rsid w:val="00244887"/>
    <w:rsid w:val="00275FAE"/>
    <w:rsid w:val="002A094B"/>
    <w:rsid w:val="00310E54"/>
    <w:rsid w:val="00334745"/>
    <w:rsid w:val="00391CB7"/>
    <w:rsid w:val="003F7D8D"/>
    <w:rsid w:val="00443970"/>
    <w:rsid w:val="005B0828"/>
    <w:rsid w:val="006B0ECA"/>
    <w:rsid w:val="006B2035"/>
    <w:rsid w:val="007A65CD"/>
    <w:rsid w:val="007C691C"/>
    <w:rsid w:val="00815D0A"/>
    <w:rsid w:val="00822F9C"/>
    <w:rsid w:val="0089072D"/>
    <w:rsid w:val="008B1CDE"/>
    <w:rsid w:val="00943FB7"/>
    <w:rsid w:val="009C39EB"/>
    <w:rsid w:val="00A04E5E"/>
    <w:rsid w:val="00A136AE"/>
    <w:rsid w:val="00A812EA"/>
    <w:rsid w:val="00AD4741"/>
    <w:rsid w:val="00AF7801"/>
    <w:rsid w:val="00B92F40"/>
    <w:rsid w:val="00BE0B6D"/>
    <w:rsid w:val="00BF1D92"/>
    <w:rsid w:val="00BF64D2"/>
    <w:rsid w:val="00C82405"/>
    <w:rsid w:val="00C8554F"/>
    <w:rsid w:val="00CD0ACD"/>
    <w:rsid w:val="00CD6913"/>
    <w:rsid w:val="00D45C15"/>
    <w:rsid w:val="00D908F9"/>
    <w:rsid w:val="00DA0B26"/>
    <w:rsid w:val="00DA6ED5"/>
    <w:rsid w:val="00E91AB3"/>
    <w:rsid w:val="00F44A8D"/>
    <w:rsid w:val="00FC51F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FootnoteText">
    <w:name w:val="footnote text"/>
    <w:basedOn w:val="Normal"/>
    <w:link w:val="FootnoteTextChar"/>
    <w:uiPriority w:val="99"/>
    <w:semiHidden/>
    <w:rsid w:val="00A136AE"/>
    <w:pPr>
      <w:widowControl/>
      <w:suppressAutoHyphens w:val="0"/>
      <w:autoSpaceDE/>
      <w:autoSpaceDN/>
      <w:textAlignment w:val="auto"/>
    </w:pPr>
    <w:rPr>
      <w:rFonts w:ascii="Times New Roman" w:eastAsia="Times" w:hAnsi="Times New Roman" w:cs="Times New Roman"/>
      <w:sz w:val="20"/>
      <w:szCs w:val="20"/>
    </w:rPr>
  </w:style>
  <w:style w:type="character" w:customStyle="1" w:styleId="FootnoteTextChar">
    <w:name w:val="Footnote Text Char"/>
    <w:basedOn w:val="DefaultParagraphFont"/>
    <w:link w:val="FootnoteText"/>
    <w:uiPriority w:val="99"/>
    <w:semiHidden/>
    <w:rsid w:val="00A136AE"/>
    <w:rPr>
      <w:rFonts w:ascii="Times New Roman" w:eastAsia="Times" w:hAnsi="Times New Roman"/>
      <w:sz w:val="20"/>
      <w:szCs w:val="20"/>
    </w:rPr>
  </w:style>
  <w:style w:type="character" w:styleId="FootnoteReference">
    <w:name w:val="footnote reference"/>
    <w:basedOn w:val="DefaultParagraphFont"/>
    <w:uiPriority w:val="99"/>
    <w:semiHidden/>
    <w:rsid w:val="00A136AE"/>
    <w:rPr>
      <w:rFonts w:cs="Times New Roman"/>
      <w:vertAlign w:val="superscript"/>
    </w:rPr>
  </w:style>
  <w:style w:type="paragraph" w:customStyle="1" w:styleId="Default">
    <w:name w:val="Default"/>
    <w:uiPriority w:val="99"/>
    <w:rsid w:val="00A136AE"/>
    <w:pPr>
      <w:autoSpaceDE w:val="0"/>
      <w:adjustRightInd w:val="0"/>
      <w:spacing w:after="0" w:line="240" w:lineRule="auto"/>
      <w:textAlignment w:val="auto"/>
    </w:pPr>
    <w:rPr>
      <w:rFonts w:ascii="Arial" w:eastAsia="Times"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rsid w:val="005B0828"/>
    <w:pPr>
      <w:tabs>
        <w:tab w:val="center" w:pos="4513"/>
        <w:tab w:val="right" w:pos="9026"/>
      </w:tabs>
    </w:pPr>
  </w:style>
  <w:style w:type="character" w:customStyle="1" w:styleId="FooterChar">
    <w:name w:val="Footer Char"/>
    <w:basedOn w:val="DefaultParagraphFont"/>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2A3778-5CA7-43DE-9495-2FD45A657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Zilic</dc:creator>
  <cp:lastModifiedBy>Tereza Zilic</cp:lastModifiedBy>
  <cp:revision>4</cp:revision>
  <cp:lastPrinted>2017-05-08T23:51:00Z</cp:lastPrinted>
  <dcterms:created xsi:type="dcterms:W3CDTF">2017-05-11T04:01:00Z</dcterms:created>
  <dcterms:modified xsi:type="dcterms:W3CDTF">2017-05-11T05:13:00Z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