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E5789" w14:textId="77777777" w:rsidR="006B0ECA" w:rsidRDefault="00260354"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14:anchorId="2E87F92D" wp14:editId="316EF06A">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0FAEB" w14:textId="77777777" w:rsidR="00F26EF8" w:rsidRPr="006B0ECA" w:rsidRDefault="00F26EF8">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7F92D"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" filled="f" stroked="f">
                <v:textbox>
                  <w:txbxContent>
                    <w:p w14:paraId="2190FAEB" w14:textId="77777777" w:rsidR="00F26EF8" w:rsidRPr="006B0ECA" w:rsidRDefault="00F26EF8">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809EDC6" wp14:editId="7FF3818B">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826F" w14:textId="77777777" w:rsidR="00F26EF8" w:rsidRPr="00D908F9" w:rsidRDefault="00F26EF8"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0809EDC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" filled="f" stroked="f">
                <v:textbox>
                  <w:txbxContent>
                    <w:p w14:paraId="0480826F" w14:textId="77777777" w:rsidR="00F26EF8" w:rsidRPr="00D908F9" w:rsidRDefault="00F26EF8"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3BBDAFAD" wp14:editId="251A7CCA">
            <wp:extent cx="9475866" cy="2028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531210" cy="2040674"/>
                    </a:xfrm>
                    <a:prstGeom prst="rect">
                      <a:avLst/>
                    </a:prstGeom>
                    <a:noFill/>
                    <a:ln>
                      <a:noFill/>
                    </a:ln>
                  </pic:spPr>
                </pic:pic>
              </a:graphicData>
            </a:graphic>
          </wp:inline>
        </w:drawing>
      </w:r>
    </w:p>
    <w:p w14:paraId="30410407" w14:textId="77777777"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199"/>
      </w:tblGrid>
      <w:tr w:rsidR="00F44A8D" w:rsidRPr="00404085" w14:paraId="5CF90288"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14:paraId="4944518A" w14:textId="6807FA80" w:rsidR="00F44A8D" w:rsidRPr="00705A5A" w:rsidRDefault="00F44A8D" w:rsidP="00AD4741">
            <w:pPr>
              <w:jc w:val="both"/>
              <w:rPr>
                <w:b/>
                <w:lang w:eastAsia="en-US"/>
              </w:rPr>
            </w:pPr>
            <w:r>
              <w:rPr>
                <w:b/>
                <w:lang w:eastAsia="en-US"/>
              </w:rPr>
              <w:t>REVENUE CIRCULAR PTA0</w:t>
            </w:r>
            <w:r w:rsidR="00181766">
              <w:rPr>
                <w:b/>
                <w:lang w:eastAsia="en-US"/>
              </w:rPr>
              <w:t>21</w:t>
            </w:r>
            <w:r w:rsidR="008A23E0">
              <w:rPr>
                <w:b/>
                <w:lang w:eastAsia="en-US"/>
              </w:rPr>
              <w:t>.1</w:t>
            </w:r>
          </w:p>
        </w:tc>
      </w:tr>
      <w:tr w:rsidR="00F44A8D" w:rsidRPr="00404085" w14:paraId="109C412B"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57E30EB8" w14:textId="016490F3" w:rsidR="00042012" w:rsidRDefault="00181766" w:rsidP="00181766">
            <w:pPr>
              <w:jc w:val="both"/>
              <w:rPr>
                <w:lang w:eastAsia="en-US"/>
              </w:rPr>
            </w:pPr>
            <w:r>
              <w:rPr>
                <w:lang w:eastAsia="en-US"/>
              </w:rPr>
              <w:t xml:space="preserve">Exemption for </w:t>
            </w:r>
            <w:r w:rsidR="00600611">
              <w:rPr>
                <w:lang w:eastAsia="en-US"/>
              </w:rPr>
              <w:t xml:space="preserve">Contractors </w:t>
            </w:r>
            <w:r>
              <w:rPr>
                <w:lang w:eastAsia="en-US"/>
              </w:rPr>
              <w:t xml:space="preserve">Ordinarily </w:t>
            </w:r>
            <w:r w:rsidR="008A23E0">
              <w:rPr>
                <w:lang w:eastAsia="en-US"/>
              </w:rPr>
              <w:t xml:space="preserve">Perform </w:t>
            </w:r>
            <w:r>
              <w:rPr>
                <w:lang w:eastAsia="en-US"/>
              </w:rPr>
              <w:t>Services to the Public</w:t>
            </w:r>
            <w:r w:rsidR="00042012">
              <w:rPr>
                <w:lang w:eastAsia="en-US"/>
              </w:rPr>
              <w:t xml:space="preserve"> </w:t>
            </w:r>
          </w:p>
          <w:p w14:paraId="3CB89797" w14:textId="77777777" w:rsidR="00F44A8D" w:rsidRPr="00404085" w:rsidRDefault="00F44A8D" w:rsidP="00181766">
            <w:pPr>
              <w:jc w:val="both"/>
              <w:rPr>
                <w:lang w:eastAsia="en-US"/>
              </w:rPr>
            </w:pPr>
            <w:r w:rsidRPr="00F44A8D">
              <w:rPr>
                <w:i/>
                <w:lang w:eastAsia="en-US"/>
              </w:rPr>
              <w:t>Payroll Tax Act 2011</w:t>
            </w:r>
          </w:p>
        </w:tc>
      </w:tr>
      <w:tr w:rsidR="00F44A8D" w:rsidRPr="00404085" w14:paraId="2E48E997"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557CC2C5" w14:textId="712022A2" w:rsidR="00F44A8D" w:rsidRPr="00404085" w:rsidRDefault="00F44A8D" w:rsidP="00AD4741">
            <w:pPr>
              <w:jc w:val="both"/>
              <w:rPr>
                <w:lang w:eastAsia="en-US"/>
              </w:rPr>
            </w:pPr>
            <w:r>
              <w:rPr>
                <w:lang w:eastAsia="en-US"/>
              </w:rPr>
              <w:t xml:space="preserve">Issue Date: </w:t>
            </w:r>
            <w:r w:rsidR="005260D5">
              <w:rPr>
                <w:lang w:eastAsia="en-US"/>
              </w:rPr>
              <w:t>29 March</w:t>
            </w:r>
            <w:r w:rsidR="008A23E0">
              <w:rPr>
                <w:lang w:eastAsia="en-US"/>
              </w:rPr>
              <w:t xml:space="preserve"> 2021</w:t>
            </w:r>
          </w:p>
        </w:tc>
      </w:tr>
      <w:tr w:rsidR="00F44A8D" w:rsidRPr="00404085" w14:paraId="3D8A5FEA"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3E362085" w14:textId="678E1DE6" w:rsidR="00F44A8D" w:rsidRPr="00404085" w:rsidRDefault="00F44A8D" w:rsidP="00AD4741">
            <w:pPr>
              <w:jc w:val="both"/>
            </w:pPr>
            <w:r>
              <w:t>Status: Current</w:t>
            </w:r>
            <w:r w:rsidR="00BB7D19">
              <w:t xml:space="preserve"> – Effective </w:t>
            </w:r>
            <w:r w:rsidR="005260D5">
              <w:rPr>
                <w:lang w:eastAsia="en-US"/>
              </w:rPr>
              <w:t>26 March</w:t>
            </w:r>
            <w:r w:rsidR="008A23E0">
              <w:rPr>
                <w:lang w:eastAsia="en-US"/>
              </w:rPr>
              <w:t xml:space="preserve"> </w:t>
            </w:r>
            <w:r w:rsidR="008A23E0">
              <w:t>2021</w:t>
            </w:r>
          </w:p>
        </w:tc>
      </w:tr>
      <w:tr w:rsidR="00310E54" w:rsidRPr="00404085" w14:paraId="71FC5C4E" w14:textId="77777777"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14:paraId="008E666F" w14:textId="25CA82BD" w:rsidR="00310E54" w:rsidRDefault="00310E54" w:rsidP="00AD4741">
            <w:pPr>
              <w:jc w:val="both"/>
            </w:pPr>
            <w:r>
              <w:t>Previous Circular: PT</w:t>
            </w:r>
            <w:r w:rsidR="008A23E0">
              <w:t>A</w:t>
            </w:r>
            <w:r w:rsidR="00600611">
              <w:t>0</w:t>
            </w:r>
            <w:r w:rsidR="00181766">
              <w:t>21</w:t>
            </w:r>
          </w:p>
        </w:tc>
      </w:tr>
    </w:tbl>
    <w:p w14:paraId="796E0E13" w14:textId="77777777" w:rsidR="00F44A8D" w:rsidRPr="00AD4741" w:rsidRDefault="00BB7D19" w:rsidP="00BB7D19">
      <w:pPr>
        <w:pStyle w:val="Heading1"/>
        <w:spacing w:before="120" w:after="120" w:line="240" w:lineRule="auto"/>
        <w:ind w:left="1701" w:hanging="567"/>
        <w:jc w:val="both"/>
      </w:pPr>
      <w:r>
        <w:t>Preamble</w:t>
      </w:r>
    </w:p>
    <w:p w14:paraId="3B9117AE" w14:textId="68D4383F" w:rsidR="002F7DA7" w:rsidRPr="00B66E9C" w:rsidRDefault="002F7DA7" w:rsidP="00B2355A">
      <w:pPr>
        <w:tabs>
          <w:tab w:val="left" w:pos="1134"/>
        </w:tabs>
        <w:adjustRightInd w:val="0"/>
        <w:spacing w:before="120" w:after="120"/>
        <w:ind w:left="1134"/>
        <w:jc w:val="both"/>
        <w:rPr>
          <w:color w:val="000000"/>
        </w:rPr>
      </w:pPr>
      <w:r w:rsidRPr="00B66E9C">
        <w:rPr>
          <w:color w:val="000000"/>
        </w:rPr>
        <w:t xml:space="preserve">This </w:t>
      </w:r>
      <w:r w:rsidRPr="00B66E9C">
        <w:t xml:space="preserve">circular explains how section 32(2)(b)(ii) of the </w:t>
      </w:r>
      <w:r w:rsidR="007A0198" w:rsidRPr="00B66E9C">
        <w:rPr>
          <w:i/>
          <w:iCs/>
          <w:color w:val="000000"/>
        </w:rPr>
        <w:t>Payroll Tax Act 2011</w:t>
      </w:r>
      <w:r w:rsidR="007A0198" w:rsidRPr="00B66E9C">
        <w:rPr>
          <w:color w:val="000000"/>
        </w:rPr>
        <w:t xml:space="preserve"> (</w:t>
      </w:r>
      <w:r w:rsidR="007A0198" w:rsidRPr="00B66E9C">
        <w:rPr>
          <w:b/>
          <w:bCs/>
          <w:color w:val="000000"/>
        </w:rPr>
        <w:t>the Act</w:t>
      </w:r>
      <w:r w:rsidR="007A0198" w:rsidRPr="00B66E9C">
        <w:rPr>
          <w:color w:val="000000"/>
        </w:rPr>
        <w:t xml:space="preserve">) </w:t>
      </w:r>
      <w:r w:rsidRPr="00B66E9C">
        <w:t xml:space="preserve">applies to exclude a contract from the definition of </w:t>
      </w:r>
      <w:r w:rsidRPr="00B66E9C">
        <w:rPr>
          <w:rFonts w:hint="eastAsia"/>
        </w:rPr>
        <w:t>‘</w:t>
      </w:r>
      <w:r w:rsidRPr="00B66E9C">
        <w:t>relevant contract</w:t>
      </w:r>
      <w:r w:rsidRPr="00B66E9C">
        <w:rPr>
          <w:rFonts w:hint="eastAsia"/>
        </w:rPr>
        <w:t>’</w:t>
      </w:r>
      <w:r w:rsidRPr="00B66E9C">
        <w:t xml:space="preserve"> for the purposes of the contractor provisions in Division 7 of Part</w:t>
      </w:r>
      <w:r w:rsidR="007A0198" w:rsidRPr="00B66E9C">
        <w:t> </w:t>
      </w:r>
      <w:r w:rsidRPr="00B66E9C">
        <w:t>3 of the Act.</w:t>
      </w:r>
    </w:p>
    <w:p w14:paraId="55866880" w14:textId="08C4C240" w:rsidR="007A0198" w:rsidRPr="00B66E9C" w:rsidRDefault="00B2355A" w:rsidP="00B2355A">
      <w:pPr>
        <w:tabs>
          <w:tab w:val="left" w:pos="1134"/>
        </w:tabs>
        <w:adjustRightInd w:val="0"/>
        <w:spacing w:before="120" w:after="120"/>
        <w:ind w:left="1134"/>
        <w:jc w:val="both"/>
        <w:rPr>
          <w:color w:val="000000"/>
        </w:rPr>
      </w:pPr>
      <w:r w:rsidRPr="00B66E9C">
        <w:rPr>
          <w:color w:val="000000"/>
        </w:rPr>
        <w:t xml:space="preserve">This </w:t>
      </w:r>
      <w:r w:rsidR="002F7DA7" w:rsidRPr="00B66E9C">
        <w:rPr>
          <w:color w:val="000000"/>
        </w:rPr>
        <w:t>circular</w:t>
      </w:r>
      <w:r w:rsidRPr="00B66E9C">
        <w:rPr>
          <w:color w:val="000000"/>
        </w:rPr>
        <w:t xml:space="preserve"> replaces </w:t>
      </w:r>
      <w:r w:rsidR="002F7DA7" w:rsidRPr="00B66E9C">
        <w:rPr>
          <w:color w:val="000000"/>
        </w:rPr>
        <w:t xml:space="preserve">the earlier </w:t>
      </w:r>
      <w:r w:rsidRPr="00B66E9C">
        <w:rPr>
          <w:color w:val="000000"/>
        </w:rPr>
        <w:t xml:space="preserve">PTA021 to address the decision in </w:t>
      </w:r>
      <w:r w:rsidRPr="00B66E9C">
        <w:rPr>
          <w:i/>
          <w:iCs/>
          <w:color w:val="000000"/>
        </w:rPr>
        <w:t xml:space="preserve">Nationwide Towing &amp; Transport Pty Ltd &amp; </w:t>
      </w:r>
      <w:proofErr w:type="spellStart"/>
      <w:r w:rsidRPr="00B66E9C">
        <w:rPr>
          <w:i/>
          <w:iCs/>
          <w:color w:val="000000"/>
        </w:rPr>
        <w:t>Ors</w:t>
      </w:r>
      <w:proofErr w:type="spellEnd"/>
      <w:r w:rsidRPr="00B66E9C">
        <w:rPr>
          <w:i/>
          <w:iCs/>
          <w:color w:val="000000"/>
        </w:rPr>
        <w:t xml:space="preserve"> v Commissioner of State Revenue</w:t>
      </w:r>
      <w:r w:rsidRPr="00B66E9C">
        <w:rPr>
          <w:color w:val="000000"/>
        </w:rPr>
        <w:t xml:space="preserve"> [2018] VSC 262. In that case, the Supreme Court of Victoria found that, contrary to PTA021, the Commissioner of State Revenue does not need to be satisfied that a contractor conducts a genuine independent business </w:t>
      </w:r>
      <w:proofErr w:type="gramStart"/>
      <w:r w:rsidRPr="00B66E9C">
        <w:rPr>
          <w:color w:val="000000"/>
        </w:rPr>
        <w:t>in order for</w:t>
      </w:r>
      <w:proofErr w:type="gramEnd"/>
      <w:r w:rsidRPr="00B66E9C">
        <w:rPr>
          <w:color w:val="000000"/>
        </w:rPr>
        <w:t xml:space="preserve"> the exclusion under section 32(2)(b)(iv) of the </w:t>
      </w:r>
      <w:r w:rsidRPr="00B66E9C">
        <w:rPr>
          <w:i/>
          <w:iCs/>
          <w:color w:val="000000"/>
        </w:rPr>
        <w:t>Payroll Tax Act 2007</w:t>
      </w:r>
      <w:r w:rsidRPr="00B66E9C">
        <w:rPr>
          <w:color w:val="000000"/>
        </w:rPr>
        <w:t xml:space="preserve"> (</w:t>
      </w:r>
      <w:r w:rsidR="00021E64" w:rsidRPr="00B66E9C">
        <w:rPr>
          <w:color w:val="000000"/>
        </w:rPr>
        <w:t>VIC</w:t>
      </w:r>
      <w:r w:rsidRPr="00B66E9C">
        <w:rPr>
          <w:color w:val="000000"/>
        </w:rPr>
        <w:t xml:space="preserve">) to apply. </w:t>
      </w:r>
    </w:p>
    <w:p w14:paraId="10628B23" w14:textId="763882C0" w:rsidR="00B2355A" w:rsidRPr="00B66E9C" w:rsidRDefault="00B2355A" w:rsidP="00E05689">
      <w:pPr>
        <w:tabs>
          <w:tab w:val="left" w:pos="1134"/>
        </w:tabs>
        <w:adjustRightInd w:val="0"/>
        <w:spacing w:before="120" w:after="120"/>
        <w:ind w:left="1134"/>
        <w:jc w:val="both"/>
        <w:rPr>
          <w:color w:val="000000"/>
        </w:rPr>
      </w:pPr>
      <w:r w:rsidRPr="00B66E9C">
        <w:rPr>
          <w:color w:val="000000"/>
        </w:rPr>
        <w:t xml:space="preserve">This </w:t>
      </w:r>
      <w:r w:rsidR="007A0198" w:rsidRPr="00B66E9C">
        <w:rPr>
          <w:color w:val="000000"/>
        </w:rPr>
        <w:t>c</w:t>
      </w:r>
      <w:r w:rsidR="00A2795D" w:rsidRPr="00B66E9C">
        <w:rPr>
          <w:color w:val="000000"/>
        </w:rPr>
        <w:t>ircular</w:t>
      </w:r>
      <w:r w:rsidRPr="00B66E9C">
        <w:rPr>
          <w:color w:val="000000"/>
        </w:rPr>
        <w:t xml:space="preserve"> </w:t>
      </w:r>
      <w:r w:rsidR="00E33744" w:rsidRPr="00B66E9C">
        <w:rPr>
          <w:color w:val="000000"/>
        </w:rPr>
        <w:t xml:space="preserve">adopts Victoria’s position to </w:t>
      </w:r>
      <w:r w:rsidRPr="00B66E9C">
        <w:rPr>
          <w:color w:val="000000"/>
        </w:rPr>
        <w:t xml:space="preserve">remove that requirement </w:t>
      </w:r>
      <w:r w:rsidR="00E33744" w:rsidRPr="00B66E9C">
        <w:rPr>
          <w:color w:val="000000"/>
        </w:rPr>
        <w:t>in the ACT</w:t>
      </w:r>
      <w:r w:rsidR="00E1147A" w:rsidRPr="00B66E9C">
        <w:rPr>
          <w:color w:val="000000"/>
        </w:rPr>
        <w:t xml:space="preserve"> </w:t>
      </w:r>
      <w:r w:rsidRPr="00B66E9C">
        <w:rPr>
          <w:color w:val="000000"/>
        </w:rPr>
        <w:t xml:space="preserve">and </w:t>
      </w:r>
      <w:r w:rsidR="00B64CDF" w:rsidRPr="00B66E9C">
        <w:rPr>
          <w:color w:val="000000"/>
        </w:rPr>
        <w:t>clarif</w:t>
      </w:r>
      <w:r w:rsidR="007A0198" w:rsidRPr="00B66E9C">
        <w:rPr>
          <w:color w:val="000000"/>
        </w:rPr>
        <w:t>ies</w:t>
      </w:r>
      <w:r w:rsidR="00B64CDF" w:rsidRPr="00B66E9C">
        <w:rPr>
          <w:color w:val="000000"/>
        </w:rPr>
        <w:t xml:space="preserve"> </w:t>
      </w:r>
      <w:r w:rsidRPr="00B66E9C">
        <w:rPr>
          <w:color w:val="000000"/>
        </w:rPr>
        <w:t>the application of th</w:t>
      </w:r>
      <w:r w:rsidR="00021E64" w:rsidRPr="00B66E9C">
        <w:rPr>
          <w:color w:val="000000"/>
        </w:rPr>
        <w:t>e</w:t>
      </w:r>
      <w:r w:rsidRPr="00B66E9C">
        <w:rPr>
          <w:color w:val="000000"/>
        </w:rPr>
        <w:t xml:space="preserve"> exclusion</w:t>
      </w:r>
      <w:r w:rsidR="00021E64" w:rsidRPr="00B66E9C">
        <w:rPr>
          <w:color w:val="000000"/>
        </w:rPr>
        <w:t xml:space="preserve"> under section 32(2)(b)(ii) of the </w:t>
      </w:r>
      <w:r w:rsidR="007A0198" w:rsidRPr="00B66E9C">
        <w:rPr>
          <w:color w:val="000000"/>
        </w:rPr>
        <w:t>Act</w:t>
      </w:r>
      <w:r w:rsidRPr="00B66E9C">
        <w:rPr>
          <w:color w:val="000000"/>
        </w:rPr>
        <w:t xml:space="preserve">. </w:t>
      </w:r>
    </w:p>
    <w:p w14:paraId="1D82993C" w14:textId="7E576D20" w:rsidR="00140694" w:rsidRPr="00B66E9C" w:rsidRDefault="00140694" w:rsidP="00E05689">
      <w:pPr>
        <w:pStyle w:val="ListParagraph"/>
        <w:numPr>
          <w:ilvl w:val="0"/>
          <w:numId w:val="9"/>
        </w:numPr>
        <w:tabs>
          <w:tab w:val="left" w:pos="1134"/>
        </w:tabs>
        <w:adjustRightInd w:val="0"/>
        <w:spacing w:before="120" w:after="120"/>
        <w:ind w:hanging="720"/>
        <w:jc w:val="both"/>
        <w:rPr>
          <w:color w:val="000000"/>
        </w:rPr>
      </w:pPr>
      <w:r w:rsidRPr="00B66E9C">
        <w:rPr>
          <w:color w:val="000000"/>
        </w:rPr>
        <w:t xml:space="preserve">A contract between a principal and a contractor may be a </w:t>
      </w:r>
      <w:r w:rsidRPr="00B66E9C">
        <w:rPr>
          <w:rFonts w:hint="eastAsia"/>
          <w:color w:val="000000"/>
        </w:rPr>
        <w:t>‘</w:t>
      </w:r>
      <w:r w:rsidRPr="00B66E9C">
        <w:rPr>
          <w:color w:val="000000"/>
        </w:rPr>
        <w:t>relevant contract</w:t>
      </w:r>
      <w:r w:rsidRPr="00B66E9C">
        <w:rPr>
          <w:rFonts w:hint="eastAsia"/>
          <w:color w:val="000000"/>
        </w:rPr>
        <w:t>’</w:t>
      </w:r>
      <w:r w:rsidRPr="00B66E9C">
        <w:rPr>
          <w:color w:val="000000"/>
        </w:rPr>
        <w:t xml:space="preserve"> under the contractor provisions in Division </w:t>
      </w:r>
      <w:r w:rsidR="00021E64" w:rsidRPr="00B66E9C">
        <w:rPr>
          <w:color w:val="000000"/>
        </w:rPr>
        <w:t>3.</w:t>
      </w:r>
      <w:r w:rsidRPr="00B66E9C">
        <w:rPr>
          <w:color w:val="000000"/>
        </w:rPr>
        <w:t>7 of Part 3 of the</w:t>
      </w:r>
      <w:r w:rsidR="00021E64" w:rsidRPr="00B66E9C">
        <w:rPr>
          <w:color w:val="000000"/>
        </w:rPr>
        <w:t xml:space="preserve"> Act</w:t>
      </w:r>
      <w:r w:rsidRPr="00B66E9C">
        <w:rPr>
          <w:color w:val="000000"/>
        </w:rPr>
        <w:t>.</w:t>
      </w:r>
    </w:p>
    <w:p w14:paraId="363D5D0D" w14:textId="2CC567BF" w:rsidR="00140694" w:rsidRPr="00B66E9C" w:rsidRDefault="00140694" w:rsidP="00E05689">
      <w:pPr>
        <w:pStyle w:val="ListParagraph"/>
        <w:numPr>
          <w:ilvl w:val="0"/>
          <w:numId w:val="9"/>
        </w:numPr>
        <w:tabs>
          <w:tab w:val="left" w:pos="1134"/>
        </w:tabs>
        <w:adjustRightInd w:val="0"/>
        <w:spacing w:before="120" w:after="120"/>
        <w:ind w:hanging="720"/>
        <w:jc w:val="both"/>
        <w:rPr>
          <w:color w:val="000000"/>
        </w:rPr>
      </w:pPr>
      <w:r w:rsidRPr="00B66E9C">
        <w:rPr>
          <w:color w:val="000000"/>
        </w:rPr>
        <w:t>If the contract is a relevant contract, the principal who engages the contractor is deemed to be an employer (section 33), the contractor is deemed to be an employee (section 34) and payments made under the contract for the performance of work are deemed to be wages (section 35). Deemed wages are wages (section 13</w:t>
      </w:r>
      <w:r w:rsidR="00021E64" w:rsidRPr="00B66E9C">
        <w:rPr>
          <w:color w:val="000000"/>
        </w:rPr>
        <w:t>(1)</w:t>
      </w:r>
      <w:r w:rsidRPr="00B66E9C">
        <w:rPr>
          <w:color w:val="000000"/>
        </w:rPr>
        <w:t>(</w:t>
      </w:r>
      <w:r w:rsidR="00021E64" w:rsidRPr="00B66E9C">
        <w:rPr>
          <w:color w:val="000000"/>
        </w:rPr>
        <w:t>d</w:t>
      </w:r>
      <w:r w:rsidRPr="00B66E9C">
        <w:rPr>
          <w:color w:val="000000"/>
        </w:rPr>
        <w:t xml:space="preserve">)) and are taxable in </w:t>
      </w:r>
      <w:r w:rsidR="00021E64" w:rsidRPr="00B66E9C">
        <w:rPr>
          <w:color w:val="000000"/>
        </w:rPr>
        <w:t>the ACT</w:t>
      </w:r>
      <w:r w:rsidRPr="00B66E9C">
        <w:rPr>
          <w:color w:val="000000"/>
        </w:rPr>
        <w:t xml:space="preserve"> if they meet the nexus provisions under section 11 of the Act. Taxable wages are subject to payroll tax (section 6).</w:t>
      </w:r>
    </w:p>
    <w:p w14:paraId="6B2795C9" w14:textId="77777777" w:rsidR="00140694" w:rsidRPr="00B66E9C" w:rsidRDefault="00140694" w:rsidP="00E05689">
      <w:pPr>
        <w:pStyle w:val="ListParagraph"/>
        <w:numPr>
          <w:ilvl w:val="0"/>
          <w:numId w:val="9"/>
        </w:numPr>
        <w:tabs>
          <w:tab w:val="left" w:pos="1134"/>
        </w:tabs>
        <w:adjustRightInd w:val="0"/>
        <w:spacing w:before="120" w:after="120"/>
        <w:ind w:hanging="720"/>
        <w:jc w:val="both"/>
        <w:rPr>
          <w:color w:val="000000"/>
        </w:rPr>
      </w:pPr>
      <w:r w:rsidRPr="00B66E9C">
        <w:rPr>
          <w:color w:val="000000"/>
        </w:rPr>
        <w:t xml:space="preserve">While most contracts for the provision of services come within the meaning of </w:t>
      </w:r>
      <w:r w:rsidRPr="00B66E9C">
        <w:rPr>
          <w:rFonts w:hint="eastAsia"/>
          <w:color w:val="000000"/>
        </w:rPr>
        <w:t>‘</w:t>
      </w:r>
      <w:r w:rsidRPr="00B66E9C">
        <w:rPr>
          <w:color w:val="000000"/>
        </w:rPr>
        <w:t>relevant contract</w:t>
      </w:r>
      <w:r w:rsidRPr="00B66E9C">
        <w:rPr>
          <w:rFonts w:hint="eastAsia"/>
          <w:color w:val="000000"/>
        </w:rPr>
        <w:t>’</w:t>
      </w:r>
      <w:r w:rsidRPr="00B66E9C">
        <w:rPr>
          <w:color w:val="000000"/>
        </w:rPr>
        <w:t xml:space="preserve"> under section 32(1) of the Act, a contract is not a relevant contract if any of the exclusions under section 32(2) of the Act applies.</w:t>
      </w:r>
    </w:p>
    <w:p w14:paraId="7CAF1CF8" w14:textId="2FA2AF1C" w:rsidR="00140694" w:rsidRPr="00D65AB2" w:rsidRDefault="00140694" w:rsidP="00E05689">
      <w:pPr>
        <w:pStyle w:val="ListParagraph"/>
        <w:numPr>
          <w:ilvl w:val="0"/>
          <w:numId w:val="9"/>
        </w:numPr>
        <w:tabs>
          <w:tab w:val="left" w:pos="1134"/>
        </w:tabs>
        <w:adjustRightInd w:val="0"/>
        <w:spacing w:before="120" w:after="120"/>
        <w:ind w:hanging="720"/>
        <w:jc w:val="both"/>
      </w:pPr>
      <w:r w:rsidRPr="00B66E9C">
        <w:rPr>
          <w:color w:val="000000"/>
        </w:rPr>
        <w:t>If a contract is not excluded under section 32(2)(b)(</w:t>
      </w:r>
      <w:proofErr w:type="spellStart"/>
      <w:r w:rsidRPr="00B66E9C">
        <w:rPr>
          <w:color w:val="000000"/>
        </w:rPr>
        <w:t>i</w:t>
      </w:r>
      <w:proofErr w:type="spellEnd"/>
      <w:r w:rsidRPr="00B66E9C">
        <w:rPr>
          <w:color w:val="000000"/>
        </w:rPr>
        <w:t>) of the Act, the exclusion in section 32(2)(b)(i</w:t>
      </w:r>
      <w:r w:rsidR="00F73315" w:rsidRPr="00B66E9C">
        <w:rPr>
          <w:color w:val="000000"/>
        </w:rPr>
        <w:t>i</w:t>
      </w:r>
      <w:r w:rsidRPr="00B66E9C">
        <w:rPr>
          <w:color w:val="000000"/>
        </w:rPr>
        <w:t>) of the Act may apply. Section 32(2)(b)(i</w:t>
      </w:r>
      <w:r w:rsidR="00F73315" w:rsidRPr="00B66E9C">
        <w:rPr>
          <w:color w:val="000000"/>
        </w:rPr>
        <w:t>i</w:t>
      </w:r>
      <w:r w:rsidRPr="00B66E9C">
        <w:rPr>
          <w:color w:val="000000"/>
        </w:rPr>
        <w:t>) of the Act</w:t>
      </w:r>
      <w:r w:rsidRPr="00E05689">
        <w:rPr>
          <w:color w:val="000000"/>
        </w:rPr>
        <w:t xml:space="preserve"> provides that a contract is not a </w:t>
      </w:r>
      <w:r w:rsidRPr="00E05689">
        <w:rPr>
          <w:rFonts w:hint="eastAsia"/>
          <w:color w:val="000000"/>
        </w:rPr>
        <w:t>‘</w:t>
      </w:r>
      <w:r w:rsidRPr="00E05689">
        <w:rPr>
          <w:color w:val="000000"/>
        </w:rPr>
        <w:t>relevant contract</w:t>
      </w:r>
      <w:r w:rsidRPr="00E05689">
        <w:rPr>
          <w:rFonts w:hint="eastAsia"/>
          <w:color w:val="000000"/>
        </w:rPr>
        <w:t>’</w:t>
      </w:r>
      <w:r w:rsidRPr="00E05689">
        <w:rPr>
          <w:color w:val="000000"/>
        </w:rPr>
        <w:t xml:space="preserve"> in relation to a financial year if the Commissioner </w:t>
      </w:r>
      <w:r w:rsidR="009776E1" w:rsidRPr="002F7DA7">
        <w:rPr>
          <w:color w:val="000000"/>
        </w:rPr>
        <w:t>of ACT Revenue (</w:t>
      </w:r>
      <w:r w:rsidR="009776E1" w:rsidRPr="00E05689">
        <w:rPr>
          <w:b/>
          <w:bCs/>
          <w:color w:val="000000"/>
        </w:rPr>
        <w:t>the Commissioner</w:t>
      </w:r>
      <w:r w:rsidR="009776E1" w:rsidRPr="002F7DA7">
        <w:rPr>
          <w:color w:val="000000"/>
        </w:rPr>
        <w:t xml:space="preserve">) </w:t>
      </w:r>
      <w:r w:rsidRPr="00E05689">
        <w:rPr>
          <w:color w:val="000000"/>
        </w:rPr>
        <w:t>is satisfied that the person who performed the services under the contract ordinarily performs services of that kind to the public generally in that financial year.</w:t>
      </w:r>
    </w:p>
    <w:p w14:paraId="41E16C43" w14:textId="2F37806C" w:rsidR="00181766" w:rsidRDefault="00181766" w:rsidP="00F26EF8">
      <w:pPr>
        <w:tabs>
          <w:tab w:val="left" w:pos="1701"/>
        </w:tabs>
        <w:adjustRightInd w:val="0"/>
        <w:spacing w:before="120" w:after="120"/>
        <w:ind w:left="1701" w:hanging="567"/>
        <w:jc w:val="both"/>
      </w:pPr>
    </w:p>
    <w:p w14:paraId="3CB9A151" w14:textId="386E8342" w:rsidR="00B72D63" w:rsidRDefault="00B72D63" w:rsidP="00F26EF8">
      <w:pPr>
        <w:tabs>
          <w:tab w:val="left" w:pos="1701"/>
        </w:tabs>
        <w:adjustRightInd w:val="0"/>
        <w:spacing w:before="120" w:after="120"/>
        <w:ind w:left="1701" w:hanging="567"/>
        <w:jc w:val="both"/>
      </w:pPr>
    </w:p>
    <w:p w14:paraId="000326DA" w14:textId="77777777" w:rsidR="00F44A8D" w:rsidRPr="00EF51AA" w:rsidRDefault="00F44A8D" w:rsidP="00F26EF8">
      <w:pPr>
        <w:pStyle w:val="Heading1"/>
        <w:spacing w:before="60" w:after="60" w:line="240" w:lineRule="auto"/>
        <w:ind w:left="1134" w:firstLine="0"/>
        <w:jc w:val="both"/>
        <w:rPr>
          <w:rFonts w:asciiTheme="minorHAnsi" w:hAnsiTheme="minorHAnsi"/>
        </w:rPr>
      </w:pPr>
      <w:r w:rsidRPr="00D65AB2">
        <w:rPr>
          <w:rFonts w:asciiTheme="minorHAnsi" w:hAnsiTheme="minorHAnsi"/>
        </w:rPr>
        <w:t>C</w:t>
      </w:r>
      <w:r w:rsidRPr="00EF51AA">
        <w:rPr>
          <w:rFonts w:asciiTheme="minorHAnsi" w:hAnsiTheme="minorHAnsi"/>
        </w:rPr>
        <w:t>ircular</w:t>
      </w:r>
    </w:p>
    <w:p w14:paraId="28812031" w14:textId="3AC1DEF1" w:rsidR="00B61B7C" w:rsidRPr="00E05689" w:rsidRDefault="0047092F" w:rsidP="00F26EF8">
      <w:pPr>
        <w:spacing w:before="60" w:after="60"/>
        <w:ind w:left="1134"/>
        <w:jc w:val="both"/>
        <w:outlineLvl w:val="1"/>
        <w:rPr>
          <w:rFonts w:asciiTheme="minorHAnsi" w:hAnsiTheme="minorHAnsi" w:cstheme="minorHAnsi"/>
          <w:b/>
        </w:rPr>
      </w:pPr>
      <w:r w:rsidRPr="00E33744">
        <w:rPr>
          <w:b/>
        </w:rPr>
        <w:t>Factors which may be relevant to the exclusion</w:t>
      </w:r>
    </w:p>
    <w:p w14:paraId="7DD76CD1" w14:textId="1FEB6020" w:rsidR="0047092F" w:rsidRPr="00E05689" w:rsidRDefault="0047092F" w:rsidP="00E05689">
      <w:pPr>
        <w:pStyle w:val="ListParagraph"/>
        <w:numPr>
          <w:ilvl w:val="0"/>
          <w:numId w:val="9"/>
        </w:numPr>
        <w:tabs>
          <w:tab w:val="left" w:pos="1134"/>
        </w:tabs>
        <w:adjustRightInd w:val="0"/>
        <w:spacing w:before="120" w:after="120"/>
        <w:ind w:hanging="720"/>
        <w:jc w:val="both"/>
        <w:rPr>
          <w:rFonts w:asciiTheme="minorHAnsi" w:hAnsiTheme="minorHAnsi" w:cstheme="minorHAnsi"/>
          <w:lang w:val="en"/>
        </w:rPr>
      </w:pPr>
      <w:bookmarkStart w:id="0" w:name="_Hlk58915191"/>
      <w:bookmarkStart w:id="1" w:name="_Hlk58913275"/>
      <w:r w:rsidRPr="00E05689">
        <w:rPr>
          <w:rFonts w:asciiTheme="minorHAnsi" w:hAnsiTheme="minorHAnsi" w:cstheme="minorHAnsi"/>
          <w:lang w:val="en"/>
        </w:rPr>
        <w:t>In determining whether a contractor who performed services under a contract ordinarily performs services of that kind to the public generally in a financial year, the Commissioner will consider a range of factors in the context of the contractor</w:t>
      </w:r>
      <w:r w:rsidRPr="00E05689">
        <w:rPr>
          <w:rFonts w:asciiTheme="minorHAnsi" w:hAnsiTheme="minorHAnsi" w:cstheme="minorHAnsi" w:hint="eastAsia"/>
          <w:lang w:val="en"/>
        </w:rPr>
        <w:t>’</w:t>
      </w:r>
      <w:r w:rsidRPr="00E05689">
        <w:rPr>
          <w:rFonts w:asciiTheme="minorHAnsi" w:hAnsiTheme="minorHAnsi" w:cstheme="minorHAnsi"/>
          <w:lang w:val="en"/>
        </w:rPr>
        <w:t>s particular circumstances. The Commissioner considers that the following factors may be relevant and would generally support a finding that the exclusion applies:</w:t>
      </w:r>
    </w:p>
    <w:bookmarkEnd w:id="0"/>
    <w:p w14:paraId="4C767A1F" w14:textId="77777777" w:rsidR="0047092F" w:rsidRPr="00E05689" w:rsidRDefault="0047092F" w:rsidP="00E05689">
      <w:pPr>
        <w:pStyle w:val="ListParagraph"/>
        <w:widowControl/>
        <w:numPr>
          <w:ilvl w:val="0"/>
          <w:numId w:val="10"/>
        </w:numPr>
        <w:suppressAutoHyphens w:val="0"/>
        <w:autoSpaceDE/>
        <w:autoSpaceDN/>
        <w:spacing w:before="120" w:after="100" w:afterAutospacing="1"/>
        <w:ind w:left="2517" w:hanging="357"/>
        <w:jc w:val="both"/>
        <w:textAlignment w:val="auto"/>
        <w:rPr>
          <w:rFonts w:asciiTheme="minorHAnsi" w:hAnsiTheme="minorHAnsi" w:cstheme="minorHAnsi"/>
          <w:lang w:val="en"/>
        </w:rPr>
      </w:pPr>
      <w:r w:rsidRPr="00E05689">
        <w:rPr>
          <w:rFonts w:asciiTheme="minorHAnsi" w:hAnsiTheme="minorHAnsi" w:cstheme="minorHAnsi"/>
          <w:lang w:val="en"/>
        </w:rPr>
        <w:t>The contractor provides the same type of services to a range of principals in the financial year (however, providing the same type of services to members of the same payroll tax group is not a strong factor supporting a finding that the contract is not a relevant contract).</w:t>
      </w:r>
    </w:p>
    <w:p w14:paraId="7837DC30" w14:textId="77777777" w:rsidR="0047092F" w:rsidRPr="00E05689" w:rsidRDefault="0047092F" w:rsidP="00E05689">
      <w:pPr>
        <w:pStyle w:val="ListParagraph"/>
        <w:widowControl/>
        <w:numPr>
          <w:ilvl w:val="0"/>
          <w:numId w:val="10"/>
        </w:numPr>
        <w:suppressAutoHyphens w:val="0"/>
        <w:autoSpaceDE/>
        <w:autoSpaceDN/>
        <w:spacing w:before="100" w:beforeAutospacing="1" w:after="100" w:afterAutospacing="1"/>
        <w:jc w:val="both"/>
        <w:textAlignment w:val="auto"/>
        <w:rPr>
          <w:rFonts w:asciiTheme="minorHAnsi" w:hAnsiTheme="minorHAnsi" w:cstheme="minorHAnsi"/>
          <w:lang w:val="en"/>
        </w:rPr>
      </w:pPr>
      <w:r w:rsidRPr="00E05689">
        <w:rPr>
          <w:rFonts w:asciiTheme="minorHAnsi" w:hAnsiTheme="minorHAnsi" w:cstheme="minorHAnsi"/>
          <w:lang w:val="en"/>
        </w:rPr>
        <w:t>The contractor derives income from principals other than the principal claiming the exclusion in the financial year. The case for exclusion is stronger when the proportion of the contractor</w:t>
      </w:r>
      <w:r w:rsidRPr="00E05689">
        <w:rPr>
          <w:rFonts w:asciiTheme="minorHAnsi" w:hAnsiTheme="minorHAnsi" w:cstheme="minorHAnsi" w:hint="eastAsia"/>
          <w:lang w:val="en"/>
        </w:rPr>
        <w:t>’</w:t>
      </w:r>
      <w:r w:rsidRPr="00E05689">
        <w:rPr>
          <w:rFonts w:asciiTheme="minorHAnsi" w:hAnsiTheme="minorHAnsi" w:cstheme="minorHAnsi"/>
          <w:lang w:val="en"/>
        </w:rPr>
        <w:t>s income obtained from other principals is greater.</w:t>
      </w:r>
    </w:p>
    <w:p w14:paraId="120710FB" w14:textId="77777777" w:rsidR="0047092F" w:rsidRPr="00E05689" w:rsidRDefault="0047092F" w:rsidP="00E05689">
      <w:pPr>
        <w:pStyle w:val="ListParagraph"/>
        <w:widowControl/>
        <w:numPr>
          <w:ilvl w:val="0"/>
          <w:numId w:val="10"/>
        </w:numPr>
        <w:suppressAutoHyphens w:val="0"/>
        <w:autoSpaceDE/>
        <w:autoSpaceDN/>
        <w:spacing w:before="100" w:beforeAutospacing="1" w:after="100" w:afterAutospacing="1"/>
        <w:jc w:val="both"/>
        <w:textAlignment w:val="auto"/>
        <w:rPr>
          <w:rFonts w:asciiTheme="minorHAnsi" w:hAnsiTheme="minorHAnsi" w:cstheme="minorHAnsi"/>
          <w:lang w:val="en"/>
        </w:rPr>
      </w:pPr>
      <w:r w:rsidRPr="00E05689">
        <w:rPr>
          <w:rFonts w:asciiTheme="minorHAnsi" w:hAnsiTheme="minorHAnsi" w:cstheme="minorHAnsi"/>
          <w:lang w:val="en"/>
        </w:rPr>
        <w:t xml:space="preserve">The contractor </w:t>
      </w:r>
      <w:proofErr w:type="gramStart"/>
      <w:r w:rsidRPr="00E05689">
        <w:rPr>
          <w:rFonts w:asciiTheme="minorHAnsi" w:hAnsiTheme="minorHAnsi" w:cstheme="minorHAnsi"/>
          <w:lang w:val="en"/>
        </w:rPr>
        <w:t>enters into</w:t>
      </w:r>
      <w:proofErr w:type="gramEnd"/>
      <w:r w:rsidRPr="00E05689">
        <w:rPr>
          <w:rFonts w:asciiTheme="minorHAnsi" w:hAnsiTheme="minorHAnsi" w:cstheme="minorHAnsi"/>
          <w:lang w:val="en"/>
        </w:rPr>
        <w:t xml:space="preserve"> contracts which do not tie the contractor to the principal and do not restrict the contractor from providing the same type of services to other principals in the financial year.</w:t>
      </w:r>
    </w:p>
    <w:p w14:paraId="34232442" w14:textId="3A92A003" w:rsidR="0047092F" w:rsidRPr="00E05689" w:rsidRDefault="0047092F" w:rsidP="00E05689">
      <w:pPr>
        <w:pStyle w:val="ListParagraph"/>
        <w:widowControl/>
        <w:numPr>
          <w:ilvl w:val="0"/>
          <w:numId w:val="10"/>
        </w:numPr>
        <w:suppressAutoHyphens w:val="0"/>
        <w:autoSpaceDE/>
        <w:autoSpaceDN/>
        <w:spacing w:before="100" w:beforeAutospacing="1" w:after="100" w:afterAutospacing="1"/>
        <w:jc w:val="both"/>
        <w:textAlignment w:val="auto"/>
        <w:rPr>
          <w:rFonts w:asciiTheme="minorHAnsi" w:hAnsiTheme="minorHAnsi" w:cstheme="minorHAnsi"/>
          <w:lang w:val="en"/>
        </w:rPr>
      </w:pPr>
      <w:r w:rsidRPr="00E05689">
        <w:rPr>
          <w:rFonts w:asciiTheme="minorHAnsi" w:hAnsiTheme="minorHAnsi" w:cstheme="minorHAnsi"/>
          <w:lang w:val="en"/>
        </w:rPr>
        <w:t xml:space="preserve">The contractor is proactive in sourcing work from a range of principals in the financial year for example, by advertising to the public. However, merely advertising to the public without </w:t>
      </w:r>
      <w:proofErr w:type="gramStart"/>
      <w:r w:rsidRPr="00E05689">
        <w:rPr>
          <w:rFonts w:asciiTheme="minorHAnsi" w:hAnsiTheme="minorHAnsi" w:cstheme="minorHAnsi"/>
          <w:lang w:val="en"/>
        </w:rPr>
        <w:t>actually providing</w:t>
      </w:r>
      <w:proofErr w:type="gramEnd"/>
      <w:r w:rsidRPr="00E05689">
        <w:rPr>
          <w:rFonts w:asciiTheme="minorHAnsi" w:hAnsiTheme="minorHAnsi" w:cstheme="minorHAnsi"/>
          <w:lang w:val="en"/>
        </w:rPr>
        <w:t xml:space="preserve"> services to the public is not a strong factor supporting a finding that the contract is not a relevant contract.</w:t>
      </w:r>
    </w:p>
    <w:p w14:paraId="4332BEDC" w14:textId="77777777" w:rsidR="0047092F" w:rsidRPr="00E05689" w:rsidRDefault="0047092F" w:rsidP="00E05689">
      <w:pPr>
        <w:pStyle w:val="ListParagraph"/>
        <w:widowControl/>
        <w:numPr>
          <w:ilvl w:val="0"/>
          <w:numId w:val="10"/>
        </w:numPr>
        <w:suppressAutoHyphens w:val="0"/>
        <w:autoSpaceDE/>
        <w:autoSpaceDN/>
        <w:spacing w:before="100" w:beforeAutospacing="1" w:after="120"/>
        <w:ind w:left="2517" w:hanging="357"/>
        <w:jc w:val="both"/>
        <w:textAlignment w:val="auto"/>
        <w:rPr>
          <w:rFonts w:asciiTheme="minorHAnsi" w:hAnsiTheme="minorHAnsi" w:cstheme="minorHAnsi"/>
          <w:lang w:val="en"/>
        </w:rPr>
      </w:pPr>
      <w:r w:rsidRPr="00E05689">
        <w:rPr>
          <w:rFonts w:asciiTheme="minorHAnsi" w:hAnsiTheme="minorHAnsi" w:cstheme="minorHAnsi"/>
          <w:lang w:val="en"/>
        </w:rPr>
        <w:t>The contractor performs work on separate contracts with separate principals concurrently in the financial year.</w:t>
      </w:r>
    </w:p>
    <w:p w14:paraId="0CD0D152" w14:textId="77777777" w:rsidR="0047092F" w:rsidRPr="00E05689" w:rsidRDefault="0047092F" w:rsidP="00E05689">
      <w:pPr>
        <w:pStyle w:val="ListParagraph"/>
        <w:numPr>
          <w:ilvl w:val="0"/>
          <w:numId w:val="9"/>
        </w:numPr>
        <w:tabs>
          <w:tab w:val="left" w:pos="1134"/>
        </w:tabs>
        <w:adjustRightInd w:val="0"/>
        <w:spacing w:before="120" w:after="120"/>
        <w:ind w:hanging="720"/>
        <w:jc w:val="both"/>
        <w:rPr>
          <w:rFonts w:asciiTheme="minorHAnsi" w:hAnsiTheme="minorHAnsi" w:cstheme="minorHAnsi"/>
          <w:lang w:val="en"/>
        </w:rPr>
      </w:pPr>
      <w:r w:rsidRPr="00E05689">
        <w:rPr>
          <w:rFonts w:asciiTheme="minorHAnsi" w:hAnsiTheme="minorHAnsi" w:cstheme="minorHAnsi"/>
          <w:lang w:val="en"/>
        </w:rPr>
        <w:t xml:space="preserve">None of the above factors is conclusive on its own. In addition to the above list of factors, the </w:t>
      </w:r>
      <w:r w:rsidRPr="00E05689">
        <w:rPr>
          <w:rFonts w:asciiTheme="minorHAnsi" w:hAnsiTheme="minorHAnsi" w:cstheme="minorHAnsi"/>
        </w:rPr>
        <w:t>Commissioner</w:t>
      </w:r>
      <w:r w:rsidRPr="00E05689">
        <w:rPr>
          <w:rFonts w:asciiTheme="minorHAnsi" w:hAnsiTheme="minorHAnsi" w:cstheme="minorHAnsi"/>
          <w:lang w:val="en"/>
        </w:rPr>
        <w:t xml:space="preserve"> will also consider any other factors that are relevant to the </w:t>
      </w:r>
      <w:proofErr w:type="gramStart"/>
      <w:r w:rsidRPr="00E05689">
        <w:rPr>
          <w:rFonts w:asciiTheme="minorHAnsi" w:hAnsiTheme="minorHAnsi" w:cstheme="minorHAnsi"/>
          <w:lang w:val="en"/>
        </w:rPr>
        <w:t>particular circumstances</w:t>
      </w:r>
      <w:proofErr w:type="gramEnd"/>
      <w:r w:rsidRPr="00E05689">
        <w:rPr>
          <w:rFonts w:asciiTheme="minorHAnsi" w:hAnsiTheme="minorHAnsi" w:cstheme="minorHAnsi"/>
          <w:lang w:val="en"/>
        </w:rPr>
        <w:t>.</w:t>
      </w:r>
      <w:r w:rsidRPr="00E05689">
        <w:rPr>
          <w:rFonts w:asciiTheme="minorHAnsi" w:hAnsiTheme="minorHAnsi" w:cstheme="minorHAnsi" w:hint="eastAsia"/>
          <w:lang w:val="en"/>
        </w:rPr>
        <w:t> </w:t>
      </w:r>
      <w:r w:rsidRPr="00E05689">
        <w:rPr>
          <w:rFonts w:asciiTheme="minorHAnsi" w:hAnsiTheme="minorHAnsi" w:cstheme="minorHAnsi"/>
          <w:lang w:val="en"/>
        </w:rPr>
        <w:t>In some circumstances, the Commissioner may determine that the exclusion applies to a contract for a given financial year but not for another financial year; in such cases, the exclusion will only apply to the amounts paid or payable under the contract in the financial year in which the Commissioner has determined that the exclusion applies.</w:t>
      </w:r>
    </w:p>
    <w:p w14:paraId="1EF5D42E" w14:textId="77777777" w:rsidR="002F7DA7" w:rsidRDefault="0047092F" w:rsidP="00BB6EF9">
      <w:pPr>
        <w:adjustRightInd w:val="0"/>
        <w:spacing w:before="120" w:after="120"/>
        <w:ind w:left="1843"/>
        <w:jc w:val="both"/>
        <w:rPr>
          <w:rFonts w:asciiTheme="minorHAnsi" w:hAnsiTheme="minorHAnsi" w:cstheme="minorHAnsi"/>
          <w:lang w:val="en"/>
        </w:rPr>
      </w:pPr>
      <w:bookmarkStart w:id="2" w:name="_Hlk58913294"/>
      <w:bookmarkEnd w:id="1"/>
      <w:r w:rsidRPr="00E05689">
        <w:rPr>
          <w:rFonts w:asciiTheme="minorHAnsi" w:hAnsiTheme="minorHAnsi" w:cstheme="minorHAnsi"/>
          <w:u w:val="single"/>
          <w:lang w:val="en"/>
        </w:rPr>
        <w:t>Example 1</w:t>
      </w:r>
      <w:r w:rsidR="00E90A82" w:rsidRPr="00E05689">
        <w:rPr>
          <w:rFonts w:asciiTheme="minorHAnsi" w:hAnsiTheme="minorHAnsi" w:cstheme="minorHAnsi"/>
          <w:lang w:val="en"/>
        </w:rPr>
        <w:t xml:space="preserve">: </w:t>
      </w:r>
    </w:p>
    <w:p w14:paraId="52EE5962" w14:textId="0E9C5858" w:rsidR="0047092F" w:rsidRPr="00E05689" w:rsidRDefault="0047092F" w:rsidP="00E05689">
      <w:pPr>
        <w:adjustRightInd w:val="0"/>
        <w:spacing w:before="120" w:after="120"/>
        <w:ind w:left="1843"/>
        <w:jc w:val="both"/>
        <w:rPr>
          <w:rFonts w:asciiTheme="minorHAnsi" w:hAnsiTheme="minorHAnsi" w:cstheme="minorHAnsi"/>
          <w:u w:val="single"/>
          <w:lang w:val="en"/>
        </w:rPr>
      </w:pPr>
      <w:r w:rsidRPr="00E05689">
        <w:rPr>
          <w:rFonts w:asciiTheme="minorHAnsi" w:hAnsiTheme="minorHAnsi" w:cstheme="minorHAnsi"/>
          <w:lang w:val="en"/>
        </w:rPr>
        <w:t>Amy is an electrician. Amy does not advertise and instead tends to learn about jobs through word of mouth. Amy typically provides services to the same principal for relatively long periods. Amy does not work for other principals concurrently. During a financial year, Amy provides services to Principal A only. Based on these facts, the Commissioner is not satisfied that Amy ordinarily provides electrical services to the public generally in that financial year, and as a result the payments made by Principal A to Amy for the performance of work are wages subject to payroll tax.</w:t>
      </w:r>
    </w:p>
    <w:p w14:paraId="5340E3FD" w14:textId="77777777" w:rsidR="002F7DA7" w:rsidRDefault="0047092F" w:rsidP="00BB6EF9">
      <w:pPr>
        <w:adjustRightInd w:val="0"/>
        <w:spacing w:before="120" w:after="120"/>
        <w:ind w:left="1843"/>
        <w:jc w:val="both"/>
        <w:rPr>
          <w:rFonts w:asciiTheme="minorHAnsi" w:hAnsiTheme="minorHAnsi" w:cstheme="minorHAnsi"/>
          <w:b/>
          <w:bCs/>
          <w:lang w:val="en"/>
        </w:rPr>
      </w:pPr>
      <w:r w:rsidRPr="00E05689">
        <w:rPr>
          <w:rFonts w:asciiTheme="minorHAnsi" w:hAnsiTheme="minorHAnsi" w:cstheme="minorHAnsi"/>
          <w:u w:val="single"/>
          <w:lang w:val="en"/>
        </w:rPr>
        <w:t>Example 2</w:t>
      </w:r>
      <w:r w:rsidR="00E90A82" w:rsidRPr="00E05689">
        <w:rPr>
          <w:rFonts w:asciiTheme="minorHAnsi" w:hAnsiTheme="minorHAnsi" w:cstheme="minorHAnsi"/>
          <w:lang w:val="en"/>
        </w:rPr>
        <w:t>:</w:t>
      </w:r>
      <w:r w:rsidR="00E90A82" w:rsidRPr="00E05689">
        <w:rPr>
          <w:rFonts w:asciiTheme="minorHAnsi" w:hAnsiTheme="minorHAnsi" w:cstheme="minorHAnsi"/>
          <w:b/>
          <w:bCs/>
          <w:lang w:val="en"/>
        </w:rPr>
        <w:t xml:space="preserve"> </w:t>
      </w:r>
    </w:p>
    <w:p w14:paraId="057B902B" w14:textId="57D9A2A1" w:rsidR="0047092F" w:rsidRDefault="0047092F" w:rsidP="00E05689">
      <w:pPr>
        <w:adjustRightInd w:val="0"/>
        <w:spacing w:before="120" w:after="120"/>
        <w:ind w:left="1843"/>
        <w:jc w:val="both"/>
        <w:rPr>
          <w:rFonts w:asciiTheme="minorHAnsi" w:hAnsiTheme="minorHAnsi" w:cstheme="minorHAnsi"/>
          <w:lang w:val="en"/>
        </w:rPr>
      </w:pPr>
      <w:r w:rsidRPr="00E05689">
        <w:t>Oliver</w:t>
      </w:r>
      <w:r w:rsidRPr="00E05689">
        <w:rPr>
          <w:rFonts w:asciiTheme="minorHAnsi" w:hAnsiTheme="minorHAnsi" w:cstheme="minorHAnsi"/>
          <w:lang w:val="en"/>
        </w:rPr>
        <w:t xml:space="preserve"> is a carpenter. Oliver tenders for </w:t>
      </w:r>
      <w:proofErr w:type="gramStart"/>
      <w:r w:rsidRPr="00E05689">
        <w:rPr>
          <w:rFonts w:asciiTheme="minorHAnsi" w:hAnsiTheme="minorHAnsi" w:cstheme="minorHAnsi"/>
          <w:lang w:val="en"/>
        </w:rPr>
        <w:t>small advertised</w:t>
      </w:r>
      <w:proofErr w:type="gramEnd"/>
      <w:r w:rsidRPr="00E05689">
        <w:rPr>
          <w:rFonts w:asciiTheme="minorHAnsi" w:hAnsiTheme="minorHAnsi" w:cstheme="minorHAnsi"/>
          <w:lang w:val="en"/>
        </w:rPr>
        <w:t xml:space="preserve"> jobs. During the first half of a financial year, Oliver concurrently provides carpentry services to three principals, and during the second half of the financial year Oliver provides carpentry services to one principal only. Based on these facts, the Commissioner is satisfied that Oliver ordinarily provides carpentry services to the public generally in the financial year, and as a result the payments made by each principal to Oliver for the performance of work in that financial year are not wages subject to payroll tax.</w:t>
      </w:r>
    </w:p>
    <w:p w14:paraId="41AC5743" w14:textId="3FE4BE35" w:rsidR="00B72D63" w:rsidRDefault="00B72D63" w:rsidP="00D65AB2">
      <w:pPr>
        <w:adjustRightInd w:val="0"/>
        <w:spacing w:before="120" w:after="120"/>
        <w:ind w:left="1134"/>
        <w:jc w:val="both"/>
        <w:rPr>
          <w:rStyle w:val="SubtleEmphasis"/>
          <w:rFonts w:asciiTheme="minorHAnsi" w:hAnsiTheme="minorHAnsi" w:cstheme="minorHAnsi"/>
          <w:color w:val="auto"/>
        </w:rPr>
      </w:pPr>
    </w:p>
    <w:p w14:paraId="4561DE94" w14:textId="77777777" w:rsidR="00B72D63" w:rsidRPr="00E05689" w:rsidRDefault="00B72D63" w:rsidP="00E05689">
      <w:pPr>
        <w:adjustRightInd w:val="0"/>
        <w:spacing w:before="120" w:after="120"/>
        <w:ind w:left="1134"/>
        <w:jc w:val="both"/>
        <w:rPr>
          <w:rStyle w:val="SubtleEmphasis"/>
          <w:rFonts w:asciiTheme="minorHAnsi" w:hAnsiTheme="minorHAnsi" w:cstheme="minorHAnsi"/>
          <w:color w:val="auto"/>
        </w:rPr>
      </w:pPr>
    </w:p>
    <w:bookmarkEnd w:id="2"/>
    <w:p w14:paraId="72BA9A43" w14:textId="77777777" w:rsidR="00B74F17" w:rsidRDefault="00B74F17" w:rsidP="00E05689">
      <w:pPr>
        <w:spacing w:before="60" w:after="60"/>
        <w:ind w:left="1134"/>
        <w:jc w:val="both"/>
        <w:outlineLvl w:val="1"/>
        <w:rPr>
          <w:b/>
        </w:rPr>
      </w:pPr>
    </w:p>
    <w:p w14:paraId="67B393D6" w14:textId="3C506189" w:rsidR="0047092F" w:rsidRPr="00E05689" w:rsidRDefault="0047092F" w:rsidP="00E05689">
      <w:pPr>
        <w:spacing w:before="60" w:after="60"/>
        <w:ind w:left="1134"/>
        <w:jc w:val="both"/>
        <w:outlineLvl w:val="1"/>
        <w:rPr>
          <w:b/>
        </w:rPr>
      </w:pPr>
      <w:r w:rsidRPr="00E05689">
        <w:rPr>
          <w:b/>
        </w:rPr>
        <w:t>The 10 days or less per month method</w:t>
      </w:r>
    </w:p>
    <w:p w14:paraId="6F3B6370" w14:textId="27A8D450" w:rsidR="0047092F" w:rsidRPr="00E05689" w:rsidRDefault="0047092F" w:rsidP="00E05689">
      <w:pPr>
        <w:pStyle w:val="ListParagraph"/>
        <w:numPr>
          <w:ilvl w:val="0"/>
          <w:numId w:val="9"/>
        </w:numPr>
        <w:tabs>
          <w:tab w:val="left" w:pos="1134"/>
        </w:tabs>
        <w:adjustRightInd w:val="0"/>
        <w:spacing w:before="120" w:after="120"/>
        <w:ind w:hanging="720"/>
        <w:jc w:val="both"/>
        <w:rPr>
          <w:rFonts w:asciiTheme="minorHAnsi" w:hAnsiTheme="minorHAnsi" w:cstheme="minorHAnsi"/>
          <w:lang w:val="en"/>
        </w:rPr>
      </w:pPr>
      <w:r w:rsidRPr="00E05689">
        <w:rPr>
          <w:rFonts w:asciiTheme="minorHAnsi" w:hAnsiTheme="minorHAnsi" w:cstheme="minorHAnsi"/>
          <w:lang w:val="en"/>
        </w:rPr>
        <w:t>The Commissioner will accept that a contract is excluded under section 32(2)(b)(i</w:t>
      </w:r>
      <w:r w:rsidR="00F73315">
        <w:rPr>
          <w:rFonts w:asciiTheme="minorHAnsi" w:hAnsiTheme="minorHAnsi" w:cstheme="minorHAnsi"/>
          <w:lang w:val="en"/>
        </w:rPr>
        <w:t>i</w:t>
      </w:r>
      <w:r w:rsidRPr="00E05689">
        <w:rPr>
          <w:rFonts w:asciiTheme="minorHAnsi" w:hAnsiTheme="minorHAnsi" w:cstheme="minorHAnsi"/>
          <w:lang w:val="en"/>
        </w:rPr>
        <w:t xml:space="preserve">) of the Act in the </w:t>
      </w:r>
      <w:r w:rsidRPr="00E05689">
        <w:rPr>
          <w:rFonts w:asciiTheme="minorHAnsi" w:hAnsiTheme="minorHAnsi" w:cstheme="minorHAnsi"/>
        </w:rPr>
        <w:t>following</w:t>
      </w:r>
      <w:r w:rsidRPr="00E05689">
        <w:rPr>
          <w:rFonts w:asciiTheme="minorHAnsi" w:hAnsiTheme="minorHAnsi" w:cstheme="minorHAnsi"/>
          <w:lang w:val="en"/>
        </w:rPr>
        <w:t xml:space="preserve"> circumstances, in which case the principal can exclude the payments made to the contractor from its taxable wages. The circumstances are where:</w:t>
      </w:r>
    </w:p>
    <w:p w14:paraId="10DD900A" w14:textId="6048D670" w:rsidR="00C76016" w:rsidRDefault="0047092F" w:rsidP="00E05689">
      <w:pPr>
        <w:pStyle w:val="ListParagraph"/>
        <w:widowControl/>
        <w:numPr>
          <w:ilvl w:val="0"/>
          <w:numId w:val="11"/>
        </w:numPr>
        <w:suppressAutoHyphens w:val="0"/>
        <w:autoSpaceDE/>
        <w:autoSpaceDN/>
        <w:spacing w:before="120" w:after="120"/>
        <w:jc w:val="both"/>
        <w:textAlignment w:val="auto"/>
        <w:rPr>
          <w:rFonts w:asciiTheme="minorHAnsi" w:hAnsiTheme="minorHAnsi" w:cstheme="minorHAnsi"/>
          <w:lang w:val="en"/>
        </w:rPr>
      </w:pPr>
      <w:r w:rsidRPr="00E05689">
        <w:rPr>
          <w:rFonts w:asciiTheme="minorHAnsi" w:hAnsiTheme="minorHAnsi" w:cstheme="minorHAnsi"/>
          <w:lang w:val="en"/>
        </w:rPr>
        <w:t>the contractor provides services of the same type to the principal claiming the exclusion and to one or more other principals (not being members of a group) during the financial year, and</w:t>
      </w:r>
    </w:p>
    <w:p w14:paraId="696E7656" w14:textId="1B93D19F" w:rsidR="0047092F" w:rsidRPr="00E05689" w:rsidRDefault="0047092F" w:rsidP="00E05689">
      <w:pPr>
        <w:pStyle w:val="ListParagraph"/>
        <w:widowControl/>
        <w:numPr>
          <w:ilvl w:val="0"/>
          <w:numId w:val="11"/>
        </w:numPr>
        <w:suppressAutoHyphens w:val="0"/>
        <w:autoSpaceDE/>
        <w:autoSpaceDN/>
        <w:spacing w:before="120" w:after="120"/>
        <w:ind w:left="2211" w:hanging="357"/>
        <w:jc w:val="both"/>
        <w:textAlignment w:val="auto"/>
        <w:rPr>
          <w:rFonts w:asciiTheme="minorHAnsi" w:hAnsiTheme="minorHAnsi" w:cstheme="minorHAnsi"/>
          <w:lang w:val="en"/>
        </w:rPr>
      </w:pPr>
      <w:r w:rsidRPr="00E05689">
        <w:rPr>
          <w:rFonts w:asciiTheme="minorHAnsi" w:hAnsiTheme="minorHAnsi" w:cstheme="minorHAnsi"/>
          <w:lang w:val="en"/>
        </w:rPr>
        <w:t>the contractor provides services of that type to the principal claiming the exclusion for an average of 10 days or less per month (excluding the months in which no services were provided to that principal).</w:t>
      </w:r>
    </w:p>
    <w:p w14:paraId="4DBE9E01" w14:textId="56764A21" w:rsidR="0047092F" w:rsidRPr="00E05689" w:rsidRDefault="0047092F" w:rsidP="00E05689">
      <w:pPr>
        <w:pStyle w:val="ListParagraph"/>
        <w:numPr>
          <w:ilvl w:val="0"/>
          <w:numId w:val="9"/>
        </w:numPr>
        <w:tabs>
          <w:tab w:val="left" w:pos="1134"/>
        </w:tabs>
        <w:adjustRightInd w:val="0"/>
        <w:spacing w:before="120" w:after="120"/>
        <w:ind w:hanging="720"/>
        <w:jc w:val="both"/>
        <w:rPr>
          <w:rFonts w:asciiTheme="minorHAnsi" w:hAnsiTheme="minorHAnsi" w:cstheme="minorHAnsi"/>
          <w:lang w:val="en"/>
        </w:rPr>
      </w:pPr>
      <w:r w:rsidRPr="00E05689">
        <w:rPr>
          <w:rFonts w:asciiTheme="minorHAnsi" w:hAnsiTheme="minorHAnsi" w:cstheme="minorHAnsi"/>
          <w:lang w:val="en"/>
        </w:rPr>
        <w:t>Revenue</w:t>
      </w:r>
      <w:r w:rsidR="00051E28">
        <w:rPr>
          <w:rFonts w:asciiTheme="minorHAnsi" w:hAnsiTheme="minorHAnsi" w:cstheme="minorHAnsi"/>
          <w:lang w:val="en"/>
        </w:rPr>
        <w:t xml:space="preserve"> Circular</w:t>
      </w:r>
      <w:r w:rsidRPr="00E05689">
        <w:rPr>
          <w:rFonts w:asciiTheme="minorHAnsi" w:hAnsiTheme="minorHAnsi" w:cstheme="minorHAnsi"/>
          <w:lang w:val="en"/>
        </w:rPr>
        <w:t xml:space="preserve"> PTA014 </w:t>
      </w:r>
      <w:r w:rsidRPr="00E05689">
        <w:rPr>
          <w:rFonts w:asciiTheme="minorHAnsi" w:hAnsiTheme="minorHAnsi" w:cstheme="minorHAnsi"/>
        </w:rPr>
        <w:t>explains</w:t>
      </w:r>
      <w:r w:rsidRPr="00E05689">
        <w:rPr>
          <w:rFonts w:asciiTheme="minorHAnsi" w:hAnsiTheme="minorHAnsi" w:cstheme="minorHAnsi"/>
          <w:lang w:val="en"/>
        </w:rPr>
        <w:t xml:space="preserve"> what constitutes a day</w:t>
      </w:r>
      <w:r w:rsidRPr="00E05689">
        <w:rPr>
          <w:rFonts w:asciiTheme="minorHAnsi" w:hAnsiTheme="minorHAnsi" w:cstheme="minorHAnsi" w:hint="eastAsia"/>
          <w:lang w:val="en"/>
        </w:rPr>
        <w:t>’</w:t>
      </w:r>
      <w:r w:rsidRPr="00E05689">
        <w:rPr>
          <w:rFonts w:asciiTheme="minorHAnsi" w:hAnsiTheme="minorHAnsi" w:cstheme="minorHAnsi"/>
          <w:lang w:val="en"/>
        </w:rPr>
        <w:t>s work for a contractor.</w:t>
      </w:r>
    </w:p>
    <w:p w14:paraId="24C06142" w14:textId="5ED56A47" w:rsidR="0047092F" w:rsidRPr="00E05689" w:rsidRDefault="0047092F" w:rsidP="00E05689">
      <w:pPr>
        <w:pStyle w:val="ListParagraph"/>
        <w:numPr>
          <w:ilvl w:val="0"/>
          <w:numId w:val="9"/>
        </w:numPr>
        <w:tabs>
          <w:tab w:val="left" w:pos="1134"/>
        </w:tabs>
        <w:adjustRightInd w:val="0"/>
        <w:spacing w:before="120" w:after="120"/>
        <w:ind w:hanging="720"/>
        <w:jc w:val="both"/>
        <w:rPr>
          <w:rFonts w:asciiTheme="minorHAnsi" w:hAnsiTheme="minorHAnsi" w:cstheme="minorHAnsi"/>
          <w:lang w:val="en"/>
        </w:rPr>
      </w:pPr>
      <w:r w:rsidRPr="00E05689">
        <w:rPr>
          <w:rFonts w:asciiTheme="minorHAnsi" w:hAnsiTheme="minorHAnsi" w:cstheme="minorHAnsi"/>
          <w:lang w:val="en"/>
        </w:rPr>
        <w:t xml:space="preserve">Principals must </w:t>
      </w:r>
      <w:r w:rsidRPr="00E05689">
        <w:rPr>
          <w:rFonts w:asciiTheme="minorHAnsi" w:hAnsiTheme="minorHAnsi" w:cstheme="minorHAnsi"/>
        </w:rPr>
        <w:t>keep</w:t>
      </w:r>
      <w:r w:rsidRPr="00E05689">
        <w:rPr>
          <w:rFonts w:asciiTheme="minorHAnsi" w:hAnsiTheme="minorHAnsi" w:cstheme="minorHAnsi"/>
          <w:lang w:val="en"/>
        </w:rPr>
        <w:t xml:space="preserve">, or cause to be kept, all records that are necessary to demonstrate that these circumstances existed for a period of </w:t>
      </w:r>
      <w:r w:rsidR="00BB6EF9">
        <w:rPr>
          <w:rFonts w:asciiTheme="minorHAnsi" w:hAnsiTheme="minorHAnsi" w:cstheme="minorHAnsi"/>
          <w:lang w:val="en"/>
        </w:rPr>
        <w:t xml:space="preserve">not less than </w:t>
      </w:r>
      <w:r w:rsidRPr="00E05689">
        <w:rPr>
          <w:rFonts w:asciiTheme="minorHAnsi" w:hAnsiTheme="minorHAnsi" w:cstheme="minorHAnsi"/>
          <w:lang w:val="en"/>
        </w:rPr>
        <w:t xml:space="preserve">5 years (section </w:t>
      </w:r>
      <w:r w:rsidR="00051E28">
        <w:rPr>
          <w:rFonts w:asciiTheme="minorHAnsi" w:hAnsiTheme="minorHAnsi" w:cstheme="minorHAnsi"/>
          <w:lang w:val="en"/>
        </w:rPr>
        <w:t xml:space="preserve">64 </w:t>
      </w:r>
      <w:r w:rsidRPr="00E05689">
        <w:rPr>
          <w:rFonts w:asciiTheme="minorHAnsi" w:hAnsiTheme="minorHAnsi" w:cstheme="minorHAnsi"/>
          <w:lang w:val="en"/>
        </w:rPr>
        <w:t xml:space="preserve">of the </w:t>
      </w:r>
      <w:r w:rsidRPr="00E05689">
        <w:rPr>
          <w:rFonts w:asciiTheme="minorHAnsi" w:hAnsiTheme="minorHAnsi" w:cstheme="minorHAnsi"/>
          <w:i/>
          <w:lang w:val="en"/>
        </w:rPr>
        <w:t>Taxation Administration Act 199</w:t>
      </w:r>
      <w:r w:rsidR="00051E28">
        <w:rPr>
          <w:rFonts w:asciiTheme="minorHAnsi" w:hAnsiTheme="minorHAnsi" w:cstheme="minorHAnsi"/>
          <w:i/>
          <w:lang w:val="en"/>
        </w:rPr>
        <w:t>9</w:t>
      </w:r>
      <w:r w:rsidRPr="00E05689">
        <w:rPr>
          <w:rFonts w:asciiTheme="minorHAnsi" w:hAnsiTheme="minorHAnsi" w:cstheme="minorHAnsi"/>
          <w:lang w:val="en"/>
        </w:rPr>
        <w:t>).</w:t>
      </w:r>
    </w:p>
    <w:p w14:paraId="26A5B9FA" w14:textId="7A27E6DF" w:rsidR="002F7DA7" w:rsidRDefault="00F26EF8" w:rsidP="00BB6EF9">
      <w:pPr>
        <w:adjustRightInd w:val="0"/>
        <w:spacing w:before="120" w:after="120"/>
        <w:ind w:left="1843"/>
        <w:jc w:val="both"/>
        <w:rPr>
          <w:rFonts w:asciiTheme="minorHAnsi" w:hAnsiTheme="minorHAnsi" w:cstheme="minorHAnsi"/>
          <w:lang w:val="en"/>
        </w:rPr>
      </w:pPr>
      <w:r w:rsidRPr="00E05689">
        <w:rPr>
          <w:rFonts w:asciiTheme="minorHAnsi" w:hAnsiTheme="minorHAnsi" w:cstheme="minorHAnsi"/>
          <w:u w:val="single"/>
          <w:lang w:val="en"/>
        </w:rPr>
        <w:t xml:space="preserve">Example </w:t>
      </w:r>
      <w:r w:rsidR="0047092F" w:rsidRPr="00E05689">
        <w:rPr>
          <w:rFonts w:asciiTheme="minorHAnsi" w:hAnsiTheme="minorHAnsi" w:cstheme="minorHAnsi"/>
          <w:u w:val="single"/>
          <w:lang w:val="en"/>
        </w:rPr>
        <w:t>3</w:t>
      </w:r>
      <w:r w:rsidRPr="00E05689">
        <w:rPr>
          <w:rFonts w:asciiTheme="minorHAnsi" w:hAnsiTheme="minorHAnsi" w:cstheme="minorHAnsi"/>
          <w:lang w:val="en"/>
        </w:rPr>
        <w:t xml:space="preserve">: </w:t>
      </w:r>
    </w:p>
    <w:p w14:paraId="12B25DCC" w14:textId="4B49E74C" w:rsidR="00F26EF8" w:rsidRPr="00E05689" w:rsidRDefault="00F26EF8" w:rsidP="00E05689">
      <w:pPr>
        <w:adjustRightInd w:val="0"/>
        <w:spacing w:before="120" w:after="120"/>
        <w:ind w:left="1843"/>
        <w:jc w:val="both"/>
        <w:rPr>
          <w:rFonts w:asciiTheme="minorHAnsi" w:hAnsiTheme="minorHAnsi" w:cstheme="minorHAnsi"/>
          <w:u w:val="single"/>
          <w:lang w:val="en"/>
        </w:rPr>
      </w:pPr>
      <w:r w:rsidRPr="00E05689">
        <w:rPr>
          <w:rFonts w:asciiTheme="minorHAnsi" w:hAnsiTheme="minorHAnsi" w:cstheme="minorHAnsi"/>
          <w:lang w:val="en"/>
        </w:rPr>
        <w:t xml:space="preserve">Michael is a computer programmer. During the financial year, he provided </w:t>
      </w:r>
      <w:r w:rsidR="0047092F" w:rsidRPr="00E05689">
        <w:rPr>
          <w:rFonts w:asciiTheme="minorHAnsi" w:hAnsiTheme="minorHAnsi" w:cstheme="minorHAnsi"/>
          <w:lang w:val="en"/>
        </w:rPr>
        <w:t xml:space="preserve">the same type of </w:t>
      </w:r>
      <w:r w:rsidRPr="00E05689">
        <w:rPr>
          <w:rFonts w:asciiTheme="minorHAnsi" w:hAnsiTheme="minorHAnsi" w:cstheme="minorHAnsi"/>
          <w:lang w:val="en"/>
        </w:rPr>
        <w:t xml:space="preserve">services to Principal </w:t>
      </w:r>
      <w:r w:rsidR="0047092F" w:rsidRPr="00E05689">
        <w:rPr>
          <w:rFonts w:asciiTheme="minorHAnsi" w:hAnsiTheme="minorHAnsi" w:cstheme="minorHAnsi"/>
          <w:lang w:val="en"/>
        </w:rPr>
        <w:t>B</w:t>
      </w:r>
      <w:r w:rsidRPr="00E05689">
        <w:rPr>
          <w:rFonts w:asciiTheme="minorHAnsi" w:hAnsiTheme="minorHAnsi" w:cstheme="minorHAnsi"/>
          <w:lang w:val="en"/>
        </w:rPr>
        <w:t xml:space="preserve"> and Principal </w:t>
      </w:r>
      <w:r w:rsidR="0047092F" w:rsidRPr="00E05689">
        <w:rPr>
          <w:rFonts w:asciiTheme="minorHAnsi" w:hAnsiTheme="minorHAnsi" w:cstheme="minorHAnsi"/>
          <w:lang w:val="en"/>
        </w:rPr>
        <w:t>C</w:t>
      </w:r>
      <w:r w:rsidRPr="00E05689">
        <w:rPr>
          <w:rFonts w:asciiTheme="minorHAnsi" w:hAnsiTheme="minorHAnsi" w:cstheme="minorHAnsi"/>
          <w:lang w:val="en"/>
        </w:rPr>
        <w:t xml:space="preserve">. Under his contract for service with Principal </w:t>
      </w:r>
      <w:r w:rsidR="0047092F" w:rsidRPr="00E05689">
        <w:rPr>
          <w:rFonts w:asciiTheme="minorHAnsi" w:hAnsiTheme="minorHAnsi" w:cstheme="minorHAnsi"/>
          <w:lang w:val="en"/>
        </w:rPr>
        <w:t>B</w:t>
      </w:r>
      <w:r w:rsidRPr="00E05689">
        <w:rPr>
          <w:rFonts w:asciiTheme="minorHAnsi" w:hAnsiTheme="minorHAnsi" w:cstheme="minorHAnsi"/>
          <w:lang w:val="en"/>
        </w:rPr>
        <w:t>, he provided his services as follows during the financial year:</w:t>
      </w:r>
    </w:p>
    <w:tbl>
      <w:tblPr>
        <w:tblW w:w="0" w:type="auto"/>
        <w:tblInd w:w="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265"/>
      </w:tblGrid>
      <w:tr w:rsidR="00F26EF8" w:rsidRPr="000F4314" w14:paraId="430FF4F1" w14:textId="77777777" w:rsidTr="00B66E9C">
        <w:tc>
          <w:tcPr>
            <w:tcW w:w="3186" w:type="dxa"/>
            <w:shd w:val="clear" w:color="auto" w:fill="DAEEF3" w:themeFill="accent5" w:themeFillTint="33"/>
            <w:tcMar>
              <w:top w:w="57" w:type="dxa"/>
              <w:left w:w="57" w:type="dxa"/>
              <w:bottom w:w="57" w:type="dxa"/>
              <w:right w:w="57" w:type="dxa"/>
            </w:tcMar>
          </w:tcPr>
          <w:p w14:paraId="5FC51F5C" w14:textId="77777777" w:rsidR="00F26EF8" w:rsidRPr="000F4314" w:rsidRDefault="00F26EF8" w:rsidP="00B66E9C">
            <w:pPr>
              <w:adjustRightInd w:val="0"/>
              <w:ind w:left="14" w:right="160"/>
              <w:jc w:val="center"/>
              <w:rPr>
                <w:b/>
                <w:bCs/>
              </w:rPr>
            </w:pPr>
            <w:r w:rsidRPr="000F4314">
              <w:rPr>
                <w:b/>
                <w:bCs/>
              </w:rPr>
              <w:t>Month</w:t>
            </w:r>
          </w:p>
        </w:tc>
        <w:tc>
          <w:tcPr>
            <w:tcW w:w="3265" w:type="dxa"/>
            <w:shd w:val="clear" w:color="auto" w:fill="DAEEF3" w:themeFill="accent5" w:themeFillTint="33"/>
            <w:tcMar>
              <w:top w:w="57" w:type="dxa"/>
              <w:left w:w="57" w:type="dxa"/>
              <w:bottom w:w="57" w:type="dxa"/>
              <w:right w:w="57" w:type="dxa"/>
            </w:tcMar>
          </w:tcPr>
          <w:p w14:paraId="2850E939" w14:textId="6D3B235A" w:rsidR="00F26EF8" w:rsidRPr="000F4314" w:rsidRDefault="00F26EF8" w:rsidP="00B66E9C">
            <w:pPr>
              <w:adjustRightInd w:val="0"/>
              <w:ind w:right="160"/>
              <w:jc w:val="center"/>
              <w:rPr>
                <w:b/>
                <w:bCs/>
              </w:rPr>
            </w:pPr>
            <w:r w:rsidRPr="000F4314">
              <w:rPr>
                <w:b/>
                <w:bCs/>
              </w:rPr>
              <w:t xml:space="preserve">Number of days worked for Principal </w:t>
            </w:r>
            <w:r w:rsidR="00B72D63">
              <w:rPr>
                <w:b/>
                <w:bCs/>
              </w:rPr>
              <w:t>B</w:t>
            </w:r>
          </w:p>
        </w:tc>
      </w:tr>
      <w:tr w:rsidR="00F26EF8" w:rsidRPr="000F4314" w14:paraId="105CA394" w14:textId="77777777" w:rsidTr="00B66E9C">
        <w:tc>
          <w:tcPr>
            <w:tcW w:w="3186" w:type="dxa"/>
            <w:tcMar>
              <w:top w:w="57" w:type="dxa"/>
              <w:left w:w="57" w:type="dxa"/>
              <w:bottom w:w="57" w:type="dxa"/>
              <w:right w:w="57" w:type="dxa"/>
            </w:tcMar>
          </w:tcPr>
          <w:p w14:paraId="56349518" w14:textId="77777777" w:rsidR="00F26EF8" w:rsidRPr="000F4314" w:rsidRDefault="00F26EF8" w:rsidP="00B66E9C">
            <w:pPr>
              <w:adjustRightInd w:val="0"/>
              <w:ind w:left="14" w:right="160"/>
              <w:jc w:val="center"/>
              <w:rPr>
                <w:bCs/>
              </w:rPr>
            </w:pPr>
            <w:r w:rsidRPr="000F4314">
              <w:t>July</w:t>
            </w:r>
          </w:p>
        </w:tc>
        <w:tc>
          <w:tcPr>
            <w:tcW w:w="3265" w:type="dxa"/>
            <w:tcMar>
              <w:top w:w="57" w:type="dxa"/>
              <w:left w:w="57" w:type="dxa"/>
              <w:bottom w:w="57" w:type="dxa"/>
              <w:right w:w="57" w:type="dxa"/>
            </w:tcMar>
          </w:tcPr>
          <w:p w14:paraId="3A48A7DD" w14:textId="77777777" w:rsidR="00F26EF8" w:rsidRPr="000F4314" w:rsidRDefault="00F26EF8" w:rsidP="00B66E9C">
            <w:pPr>
              <w:adjustRightInd w:val="0"/>
              <w:ind w:left="14" w:right="160"/>
              <w:jc w:val="center"/>
              <w:rPr>
                <w:bCs/>
              </w:rPr>
            </w:pPr>
            <w:r w:rsidRPr="000F4314">
              <w:rPr>
                <w:bCs/>
              </w:rPr>
              <w:t>5</w:t>
            </w:r>
          </w:p>
        </w:tc>
      </w:tr>
      <w:tr w:rsidR="00F26EF8" w:rsidRPr="000F4314" w14:paraId="0E974C72" w14:textId="77777777" w:rsidTr="00B66E9C">
        <w:tc>
          <w:tcPr>
            <w:tcW w:w="3186" w:type="dxa"/>
            <w:tcMar>
              <w:top w:w="57" w:type="dxa"/>
              <w:left w:w="57" w:type="dxa"/>
              <w:bottom w:w="57" w:type="dxa"/>
              <w:right w:w="57" w:type="dxa"/>
            </w:tcMar>
          </w:tcPr>
          <w:p w14:paraId="4CFC1385" w14:textId="77777777" w:rsidR="00F26EF8" w:rsidRPr="000F4314" w:rsidRDefault="00F26EF8" w:rsidP="00B66E9C">
            <w:pPr>
              <w:adjustRightInd w:val="0"/>
              <w:ind w:left="14" w:right="160"/>
              <w:jc w:val="center"/>
              <w:rPr>
                <w:bCs/>
              </w:rPr>
            </w:pPr>
            <w:r w:rsidRPr="000F4314">
              <w:t>August</w:t>
            </w:r>
          </w:p>
        </w:tc>
        <w:tc>
          <w:tcPr>
            <w:tcW w:w="3265" w:type="dxa"/>
            <w:tcMar>
              <w:top w:w="57" w:type="dxa"/>
              <w:left w:w="57" w:type="dxa"/>
              <w:bottom w:w="57" w:type="dxa"/>
              <w:right w:w="57" w:type="dxa"/>
            </w:tcMar>
          </w:tcPr>
          <w:p w14:paraId="7D85BC57" w14:textId="77777777" w:rsidR="00F26EF8" w:rsidRPr="000F4314" w:rsidRDefault="00F26EF8" w:rsidP="00B66E9C">
            <w:pPr>
              <w:adjustRightInd w:val="0"/>
              <w:ind w:left="14" w:right="160"/>
              <w:jc w:val="center"/>
              <w:rPr>
                <w:bCs/>
              </w:rPr>
            </w:pPr>
            <w:r w:rsidRPr="000F4314">
              <w:rPr>
                <w:bCs/>
              </w:rPr>
              <w:t>3</w:t>
            </w:r>
          </w:p>
        </w:tc>
      </w:tr>
      <w:tr w:rsidR="00F26EF8" w:rsidRPr="000F4314" w14:paraId="08124B15" w14:textId="77777777" w:rsidTr="00B66E9C">
        <w:tc>
          <w:tcPr>
            <w:tcW w:w="3186" w:type="dxa"/>
            <w:tcMar>
              <w:top w:w="57" w:type="dxa"/>
              <w:left w:w="57" w:type="dxa"/>
              <w:bottom w:w="57" w:type="dxa"/>
              <w:right w:w="57" w:type="dxa"/>
            </w:tcMar>
          </w:tcPr>
          <w:p w14:paraId="5D5C682F" w14:textId="77777777" w:rsidR="00F26EF8" w:rsidRPr="000F4314" w:rsidRDefault="00F26EF8" w:rsidP="00B66E9C">
            <w:pPr>
              <w:adjustRightInd w:val="0"/>
              <w:ind w:left="14" w:right="160"/>
              <w:jc w:val="center"/>
              <w:rPr>
                <w:bCs/>
              </w:rPr>
            </w:pPr>
            <w:r w:rsidRPr="000F4314">
              <w:t>September</w:t>
            </w:r>
          </w:p>
        </w:tc>
        <w:tc>
          <w:tcPr>
            <w:tcW w:w="3265" w:type="dxa"/>
            <w:tcMar>
              <w:top w:w="57" w:type="dxa"/>
              <w:left w:w="57" w:type="dxa"/>
              <w:bottom w:w="57" w:type="dxa"/>
              <w:right w:w="57" w:type="dxa"/>
            </w:tcMar>
          </w:tcPr>
          <w:p w14:paraId="3D15CACF" w14:textId="77777777" w:rsidR="00F26EF8" w:rsidRPr="000F4314" w:rsidRDefault="00F26EF8" w:rsidP="00B66E9C">
            <w:pPr>
              <w:adjustRightInd w:val="0"/>
              <w:ind w:left="14" w:right="160"/>
              <w:jc w:val="center"/>
              <w:rPr>
                <w:bCs/>
              </w:rPr>
            </w:pPr>
            <w:r w:rsidRPr="000F4314">
              <w:rPr>
                <w:bCs/>
              </w:rPr>
              <w:t>7</w:t>
            </w:r>
          </w:p>
        </w:tc>
      </w:tr>
      <w:tr w:rsidR="00F26EF8" w:rsidRPr="000F4314" w14:paraId="0E884BF8" w14:textId="77777777" w:rsidTr="00B66E9C">
        <w:tc>
          <w:tcPr>
            <w:tcW w:w="3186" w:type="dxa"/>
            <w:tcMar>
              <w:top w:w="57" w:type="dxa"/>
              <w:left w:w="57" w:type="dxa"/>
              <w:bottom w:w="57" w:type="dxa"/>
              <w:right w:w="57" w:type="dxa"/>
            </w:tcMar>
          </w:tcPr>
          <w:p w14:paraId="40D71CFA" w14:textId="77777777" w:rsidR="00F26EF8" w:rsidRPr="000F4314" w:rsidRDefault="00F26EF8" w:rsidP="00B66E9C">
            <w:pPr>
              <w:adjustRightInd w:val="0"/>
              <w:ind w:left="14" w:right="160"/>
              <w:jc w:val="center"/>
              <w:rPr>
                <w:bCs/>
              </w:rPr>
            </w:pPr>
            <w:r w:rsidRPr="000F4314">
              <w:rPr>
                <w:bCs/>
              </w:rPr>
              <w:t>October</w:t>
            </w:r>
          </w:p>
        </w:tc>
        <w:tc>
          <w:tcPr>
            <w:tcW w:w="3265" w:type="dxa"/>
            <w:tcMar>
              <w:top w:w="57" w:type="dxa"/>
              <w:left w:w="57" w:type="dxa"/>
              <w:bottom w:w="57" w:type="dxa"/>
              <w:right w:w="57" w:type="dxa"/>
            </w:tcMar>
          </w:tcPr>
          <w:p w14:paraId="177F6D14" w14:textId="77777777" w:rsidR="00F26EF8" w:rsidRPr="000F4314" w:rsidRDefault="00F26EF8" w:rsidP="00B66E9C">
            <w:pPr>
              <w:adjustRightInd w:val="0"/>
              <w:ind w:left="14" w:right="160"/>
              <w:jc w:val="center"/>
              <w:rPr>
                <w:bCs/>
              </w:rPr>
            </w:pPr>
            <w:r w:rsidRPr="000F4314">
              <w:rPr>
                <w:bCs/>
              </w:rPr>
              <w:t>5</w:t>
            </w:r>
          </w:p>
        </w:tc>
      </w:tr>
      <w:tr w:rsidR="00F26EF8" w:rsidRPr="000F4314" w14:paraId="798216EB" w14:textId="77777777" w:rsidTr="00B66E9C">
        <w:tc>
          <w:tcPr>
            <w:tcW w:w="3186" w:type="dxa"/>
            <w:tcMar>
              <w:top w:w="57" w:type="dxa"/>
              <w:left w:w="57" w:type="dxa"/>
              <w:bottom w:w="57" w:type="dxa"/>
              <w:right w:w="57" w:type="dxa"/>
            </w:tcMar>
          </w:tcPr>
          <w:p w14:paraId="1DD7294F" w14:textId="77777777" w:rsidR="00F26EF8" w:rsidRPr="000F4314" w:rsidRDefault="00F26EF8" w:rsidP="00B66E9C">
            <w:pPr>
              <w:adjustRightInd w:val="0"/>
              <w:ind w:left="14" w:right="160"/>
              <w:jc w:val="center"/>
              <w:rPr>
                <w:bCs/>
              </w:rPr>
            </w:pPr>
            <w:r w:rsidRPr="000F4314">
              <w:rPr>
                <w:bCs/>
              </w:rPr>
              <w:t>November</w:t>
            </w:r>
          </w:p>
        </w:tc>
        <w:tc>
          <w:tcPr>
            <w:tcW w:w="3265" w:type="dxa"/>
            <w:tcMar>
              <w:top w:w="57" w:type="dxa"/>
              <w:left w:w="57" w:type="dxa"/>
              <w:bottom w:w="57" w:type="dxa"/>
              <w:right w:w="57" w:type="dxa"/>
            </w:tcMar>
          </w:tcPr>
          <w:p w14:paraId="625888B9" w14:textId="77777777" w:rsidR="00F26EF8" w:rsidRPr="000F4314" w:rsidRDefault="00F26EF8" w:rsidP="00B66E9C">
            <w:pPr>
              <w:adjustRightInd w:val="0"/>
              <w:ind w:left="14" w:right="160"/>
              <w:jc w:val="center"/>
              <w:rPr>
                <w:bCs/>
              </w:rPr>
            </w:pPr>
            <w:r w:rsidRPr="000F4314">
              <w:rPr>
                <w:bCs/>
              </w:rPr>
              <w:t>16</w:t>
            </w:r>
          </w:p>
        </w:tc>
      </w:tr>
      <w:tr w:rsidR="00F26EF8" w:rsidRPr="000F4314" w14:paraId="07A6CE02" w14:textId="77777777" w:rsidTr="00B66E9C">
        <w:tc>
          <w:tcPr>
            <w:tcW w:w="3186" w:type="dxa"/>
            <w:tcMar>
              <w:top w:w="57" w:type="dxa"/>
              <w:left w:w="57" w:type="dxa"/>
              <w:bottom w:w="57" w:type="dxa"/>
              <w:right w:w="57" w:type="dxa"/>
            </w:tcMar>
          </w:tcPr>
          <w:p w14:paraId="0EB61CED" w14:textId="77777777" w:rsidR="00F26EF8" w:rsidRPr="000F4314" w:rsidRDefault="00F26EF8" w:rsidP="00B66E9C">
            <w:pPr>
              <w:adjustRightInd w:val="0"/>
              <w:ind w:left="14" w:right="160"/>
              <w:jc w:val="center"/>
              <w:rPr>
                <w:bCs/>
              </w:rPr>
            </w:pPr>
            <w:r w:rsidRPr="000F4314">
              <w:rPr>
                <w:bCs/>
              </w:rPr>
              <w:t>December</w:t>
            </w:r>
          </w:p>
        </w:tc>
        <w:tc>
          <w:tcPr>
            <w:tcW w:w="3265" w:type="dxa"/>
            <w:tcMar>
              <w:top w:w="57" w:type="dxa"/>
              <w:left w:w="57" w:type="dxa"/>
              <w:bottom w:w="57" w:type="dxa"/>
              <w:right w:w="57" w:type="dxa"/>
            </w:tcMar>
          </w:tcPr>
          <w:p w14:paraId="7B8064C5" w14:textId="77777777" w:rsidR="00F26EF8" w:rsidRPr="000F4314" w:rsidRDefault="00F26EF8" w:rsidP="00B66E9C">
            <w:pPr>
              <w:adjustRightInd w:val="0"/>
              <w:ind w:left="14" w:right="160"/>
              <w:jc w:val="center"/>
              <w:rPr>
                <w:bCs/>
              </w:rPr>
            </w:pPr>
            <w:r w:rsidRPr="000F4314">
              <w:rPr>
                <w:bCs/>
              </w:rPr>
              <w:t>9</w:t>
            </w:r>
          </w:p>
        </w:tc>
      </w:tr>
      <w:tr w:rsidR="00F26EF8" w:rsidRPr="000F4314" w14:paraId="66B00865" w14:textId="77777777" w:rsidTr="00B66E9C">
        <w:tc>
          <w:tcPr>
            <w:tcW w:w="3186" w:type="dxa"/>
            <w:tcMar>
              <w:top w:w="57" w:type="dxa"/>
              <w:left w:w="57" w:type="dxa"/>
              <w:bottom w:w="57" w:type="dxa"/>
              <w:right w:w="57" w:type="dxa"/>
            </w:tcMar>
          </w:tcPr>
          <w:p w14:paraId="2539E0B2" w14:textId="77777777" w:rsidR="00F26EF8" w:rsidRPr="000F4314" w:rsidRDefault="00F26EF8" w:rsidP="00B66E9C">
            <w:pPr>
              <w:adjustRightInd w:val="0"/>
              <w:ind w:left="14" w:right="160"/>
              <w:jc w:val="center"/>
              <w:rPr>
                <w:bCs/>
              </w:rPr>
            </w:pPr>
            <w:r w:rsidRPr="000F4314">
              <w:rPr>
                <w:bCs/>
              </w:rPr>
              <w:t>January</w:t>
            </w:r>
          </w:p>
        </w:tc>
        <w:tc>
          <w:tcPr>
            <w:tcW w:w="3265" w:type="dxa"/>
            <w:tcMar>
              <w:top w:w="57" w:type="dxa"/>
              <w:left w:w="57" w:type="dxa"/>
              <w:bottom w:w="57" w:type="dxa"/>
              <w:right w:w="57" w:type="dxa"/>
            </w:tcMar>
          </w:tcPr>
          <w:p w14:paraId="386DC875" w14:textId="77777777" w:rsidR="00F26EF8" w:rsidRPr="000F4314" w:rsidRDefault="00F26EF8" w:rsidP="00B66E9C">
            <w:pPr>
              <w:adjustRightInd w:val="0"/>
              <w:ind w:left="14" w:right="160"/>
              <w:jc w:val="center"/>
              <w:rPr>
                <w:bCs/>
              </w:rPr>
            </w:pPr>
            <w:r w:rsidRPr="000F4314">
              <w:rPr>
                <w:bCs/>
              </w:rPr>
              <w:t>13</w:t>
            </w:r>
          </w:p>
        </w:tc>
      </w:tr>
      <w:tr w:rsidR="00F26EF8" w:rsidRPr="000F4314" w14:paraId="307A0A0C" w14:textId="77777777" w:rsidTr="00B66E9C">
        <w:tc>
          <w:tcPr>
            <w:tcW w:w="3186" w:type="dxa"/>
            <w:tcMar>
              <w:top w:w="57" w:type="dxa"/>
              <w:left w:w="57" w:type="dxa"/>
              <w:bottom w:w="57" w:type="dxa"/>
              <w:right w:w="57" w:type="dxa"/>
            </w:tcMar>
          </w:tcPr>
          <w:p w14:paraId="0A3EE702" w14:textId="77777777" w:rsidR="00F26EF8" w:rsidRPr="000F4314" w:rsidRDefault="00F26EF8" w:rsidP="00B66E9C">
            <w:pPr>
              <w:adjustRightInd w:val="0"/>
              <w:ind w:left="14" w:right="160"/>
              <w:jc w:val="center"/>
              <w:rPr>
                <w:bCs/>
              </w:rPr>
            </w:pPr>
            <w:r w:rsidRPr="000F4314">
              <w:rPr>
                <w:bCs/>
              </w:rPr>
              <w:t>February</w:t>
            </w:r>
          </w:p>
        </w:tc>
        <w:tc>
          <w:tcPr>
            <w:tcW w:w="3265" w:type="dxa"/>
            <w:tcMar>
              <w:top w:w="57" w:type="dxa"/>
              <w:left w:w="57" w:type="dxa"/>
              <w:bottom w:w="57" w:type="dxa"/>
              <w:right w:w="57" w:type="dxa"/>
            </w:tcMar>
          </w:tcPr>
          <w:p w14:paraId="2A30E2D0" w14:textId="77777777" w:rsidR="00F26EF8" w:rsidRPr="000F4314" w:rsidRDefault="00F26EF8" w:rsidP="00B66E9C">
            <w:pPr>
              <w:adjustRightInd w:val="0"/>
              <w:ind w:left="14" w:right="160"/>
              <w:jc w:val="center"/>
              <w:rPr>
                <w:bCs/>
              </w:rPr>
            </w:pPr>
            <w:r w:rsidRPr="000F4314">
              <w:rPr>
                <w:bCs/>
              </w:rPr>
              <w:t>4</w:t>
            </w:r>
          </w:p>
        </w:tc>
      </w:tr>
      <w:tr w:rsidR="00F26EF8" w:rsidRPr="000F4314" w14:paraId="3B0806D3" w14:textId="77777777" w:rsidTr="00B66E9C">
        <w:tc>
          <w:tcPr>
            <w:tcW w:w="3186" w:type="dxa"/>
            <w:tcMar>
              <w:top w:w="57" w:type="dxa"/>
              <w:left w:w="57" w:type="dxa"/>
              <w:bottom w:w="57" w:type="dxa"/>
              <w:right w:w="57" w:type="dxa"/>
            </w:tcMar>
          </w:tcPr>
          <w:p w14:paraId="54E048F2" w14:textId="77777777" w:rsidR="00F26EF8" w:rsidRPr="000F4314" w:rsidRDefault="00F26EF8" w:rsidP="00B66E9C">
            <w:pPr>
              <w:adjustRightInd w:val="0"/>
              <w:ind w:left="14" w:right="160"/>
              <w:jc w:val="center"/>
              <w:rPr>
                <w:bCs/>
              </w:rPr>
            </w:pPr>
            <w:r w:rsidRPr="000F4314">
              <w:rPr>
                <w:bCs/>
              </w:rPr>
              <w:t>March</w:t>
            </w:r>
          </w:p>
        </w:tc>
        <w:tc>
          <w:tcPr>
            <w:tcW w:w="3265" w:type="dxa"/>
            <w:tcMar>
              <w:top w:w="57" w:type="dxa"/>
              <w:left w:w="57" w:type="dxa"/>
              <w:bottom w:w="57" w:type="dxa"/>
              <w:right w:w="57" w:type="dxa"/>
            </w:tcMar>
          </w:tcPr>
          <w:p w14:paraId="3B5B5CE8" w14:textId="77777777" w:rsidR="00F26EF8" w:rsidRPr="000F4314" w:rsidRDefault="00F26EF8" w:rsidP="00B66E9C">
            <w:pPr>
              <w:adjustRightInd w:val="0"/>
              <w:ind w:left="14" w:right="160"/>
              <w:jc w:val="center"/>
              <w:rPr>
                <w:bCs/>
              </w:rPr>
            </w:pPr>
            <w:r w:rsidRPr="000F4314">
              <w:rPr>
                <w:bCs/>
              </w:rPr>
              <w:t>8</w:t>
            </w:r>
          </w:p>
        </w:tc>
      </w:tr>
      <w:tr w:rsidR="00F26EF8" w:rsidRPr="000F4314" w14:paraId="7FACDD48" w14:textId="77777777" w:rsidTr="00B66E9C">
        <w:tc>
          <w:tcPr>
            <w:tcW w:w="3186" w:type="dxa"/>
            <w:tcMar>
              <w:top w:w="57" w:type="dxa"/>
              <w:left w:w="57" w:type="dxa"/>
              <w:bottom w:w="57" w:type="dxa"/>
              <w:right w:w="57" w:type="dxa"/>
            </w:tcMar>
          </w:tcPr>
          <w:p w14:paraId="3DFA9EA0" w14:textId="77777777" w:rsidR="00F26EF8" w:rsidRPr="000F4314" w:rsidRDefault="00F26EF8" w:rsidP="00B66E9C">
            <w:pPr>
              <w:adjustRightInd w:val="0"/>
              <w:ind w:left="14" w:right="160"/>
              <w:jc w:val="center"/>
              <w:rPr>
                <w:bCs/>
              </w:rPr>
            </w:pPr>
            <w:r w:rsidRPr="000F4314">
              <w:rPr>
                <w:bCs/>
              </w:rPr>
              <w:t>April</w:t>
            </w:r>
          </w:p>
        </w:tc>
        <w:tc>
          <w:tcPr>
            <w:tcW w:w="3265" w:type="dxa"/>
            <w:tcMar>
              <w:top w:w="57" w:type="dxa"/>
              <w:left w:w="57" w:type="dxa"/>
              <w:bottom w:w="57" w:type="dxa"/>
              <w:right w:w="57" w:type="dxa"/>
            </w:tcMar>
          </w:tcPr>
          <w:p w14:paraId="52A42F06" w14:textId="77777777" w:rsidR="00F26EF8" w:rsidRPr="000F4314" w:rsidRDefault="00F26EF8" w:rsidP="00B66E9C">
            <w:pPr>
              <w:adjustRightInd w:val="0"/>
              <w:ind w:left="14" w:right="160"/>
              <w:jc w:val="center"/>
              <w:rPr>
                <w:bCs/>
              </w:rPr>
            </w:pPr>
            <w:r w:rsidRPr="000F4314">
              <w:rPr>
                <w:bCs/>
              </w:rPr>
              <w:t>5</w:t>
            </w:r>
          </w:p>
        </w:tc>
      </w:tr>
      <w:tr w:rsidR="00F26EF8" w:rsidRPr="000F4314" w14:paraId="46620E59" w14:textId="77777777" w:rsidTr="00B66E9C">
        <w:tc>
          <w:tcPr>
            <w:tcW w:w="3186" w:type="dxa"/>
            <w:tcMar>
              <w:top w:w="57" w:type="dxa"/>
              <w:left w:w="57" w:type="dxa"/>
              <w:bottom w:w="57" w:type="dxa"/>
              <w:right w:w="57" w:type="dxa"/>
            </w:tcMar>
          </w:tcPr>
          <w:p w14:paraId="25B206C6" w14:textId="77777777" w:rsidR="00F26EF8" w:rsidRPr="000F4314" w:rsidRDefault="00F26EF8" w:rsidP="00B66E9C">
            <w:pPr>
              <w:adjustRightInd w:val="0"/>
              <w:ind w:left="14" w:right="160"/>
              <w:jc w:val="center"/>
              <w:rPr>
                <w:bCs/>
              </w:rPr>
            </w:pPr>
            <w:r w:rsidRPr="000F4314">
              <w:rPr>
                <w:bCs/>
              </w:rPr>
              <w:t>May</w:t>
            </w:r>
          </w:p>
        </w:tc>
        <w:tc>
          <w:tcPr>
            <w:tcW w:w="3265" w:type="dxa"/>
            <w:tcMar>
              <w:top w:w="57" w:type="dxa"/>
              <w:left w:w="57" w:type="dxa"/>
              <w:bottom w:w="57" w:type="dxa"/>
              <w:right w:w="57" w:type="dxa"/>
            </w:tcMar>
          </w:tcPr>
          <w:p w14:paraId="39BA97E5" w14:textId="77777777" w:rsidR="00F26EF8" w:rsidRPr="000F4314" w:rsidRDefault="00F26EF8" w:rsidP="00B66E9C">
            <w:pPr>
              <w:adjustRightInd w:val="0"/>
              <w:ind w:left="14" w:right="160"/>
              <w:jc w:val="center"/>
              <w:rPr>
                <w:bCs/>
              </w:rPr>
            </w:pPr>
            <w:r w:rsidRPr="000F4314">
              <w:rPr>
                <w:bCs/>
              </w:rPr>
              <w:t>14</w:t>
            </w:r>
          </w:p>
        </w:tc>
      </w:tr>
      <w:tr w:rsidR="00F26EF8" w:rsidRPr="000F4314" w14:paraId="117C6044" w14:textId="77777777" w:rsidTr="00B66E9C">
        <w:tc>
          <w:tcPr>
            <w:tcW w:w="3186" w:type="dxa"/>
            <w:tcMar>
              <w:top w:w="57" w:type="dxa"/>
              <w:left w:w="57" w:type="dxa"/>
              <w:bottom w:w="57" w:type="dxa"/>
              <w:right w:w="57" w:type="dxa"/>
            </w:tcMar>
          </w:tcPr>
          <w:p w14:paraId="3ACD4439" w14:textId="77777777" w:rsidR="00F26EF8" w:rsidRPr="000F4314" w:rsidRDefault="00F26EF8" w:rsidP="00B66E9C">
            <w:pPr>
              <w:adjustRightInd w:val="0"/>
              <w:ind w:left="14" w:right="160"/>
              <w:jc w:val="center"/>
              <w:rPr>
                <w:bCs/>
              </w:rPr>
            </w:pPr>
            <w:r w:rsidRPr="000F4314">
              <w:rPr>
                <w:bCs/>
              </w:rPr>
              <w:t>June</w:t>
            </w:r>
          </w:p>
        </w:tc>
        <w:tc>
          <w:tcPr>
            <w:tcW w:w="3265" w:type="dxa"/>
            <w:tcMar>
              <w:top w:w="57" w:type="dxa"/>
              <w:left w:w="57" w:type="dxa"/>
              <w:bottom w:w="57" w:type="dxa"/>
              <w:right w:w="57" w:type="dxa"/>
            </w:tcMar>
          </w:tcPr>
          <w:p w14:paraId="6FBF1B04" w14:textId="77777777" w:rsidR="00F26EF8" w:rsidRPr="000F4314" w:rsidRDefault="00F26EF8" w:rsidP="00B66E9C">
            <w:pPr>
              <w:adjustRightInd w:val="0"/>
              <w:ind w:left="14" w:right="160"/>
              <w:jc w:val="center"/>
              <w:rPr>
                <w:bCs/>
              </w:rPr>
            </w:pPr>
            <w:r w:rsidRPr="000F4314">
              <w:rPr>
                <w:bCs/>
              </w:rPr>
              <w:t>11</w:t>
            </w:r>
          </w:p>
        </w:tc>
      </w:tr>
      <w:tr w:rsidR="00F26EF8" w:rsidRPr="000F4314" w14:paraId="7EB9DA35" w14:textId="77777777" w:rsidTr="00B66E9C">
        <w:tc>
          <w:tcPr>
            <w:tcW w:w="3186" w:type="dxa"/>
            <w:tcMar>
              <w:top w:w="57" w:type="dxa"/>
              <w:left w:w="57" w:type="dxa"/>
              <w:bottom w:w="57" w:type="dxa"/>
              <w:right w:w="57" w:type="dxa"/>
            </w:tcMar>
          </w:tcPr>
          <w:p w14:paraId="6B85D543" w14:textId="77777777" w:rsidR="00F26EF8" w:rsidRPr="000F4314" w:rsidRDefault="00F26EF8" w:rsidP="00B66E9C">
            <w:pPr>
              <w:adjustRightInd w:val="0"/>
              <w:ind w:left="14" w:right="160"/>
              <w:jc w:val="center"/>
              <w:rPr>
                <w:b/>
                <w:bCs/>
              </w:rPr>
            </w:pPr>
            <w:r w:rsidRPr="000F4314">
              <w:rPr>
                <w:b/>
                <w:bCs/>
              </w:rPr>
              <w:t>Total</w:t>
            </w:r>
          </w:p>
        </w:tc>
        <w:tc>
          <w:tcPr>
            <w:tcW w:w="3265" w:type="dxa"/>
            <w:tcMar>
              <w:top w:w="57" w:type="dxa"/>
              <w:left w:w="57" w:type="dxa"/>
              <w:bottom w:w="57" w:type="dxa"/>
              <w:right w:w="57" w:type="dxa"/>
            </w:tcMar>
          </w:tcPr>
          <w:p w14:paraId="08534CE6" w14:textId="77777777" w:rsidR="00F26EF8" w:rsidRPr="000F4314" w:rsidRDefault="00F26EF8" w:rsidP="00B66E9C">
            <w:pPr>
              <w:adjustRightInd w:val="0"/>
              <w:ind w:left="14" w:right="160"/>
              <w:jc w:val="center"/>
              <w:rPr>
                <w:b/>
                <w:bCs/>
              </w:rPr>
            </w:pPr>
            <w:r w:rsidRPr="000F4314">
              <w:rPr>
                <w:b/>
                <w:bCs/>
              </w:rPr>
              <w:t>100</w:t>
            </w:r>
          </w:p>
        </w:tc>
      </w:tr>
    </w:tbl>
    <w:p w14:paraId="3AF52E79" w14:textId="6195EF1A" w:rsidR="00F26EF8" w:rsidRPr="00B61B7C" w:rsidRDefault="00F26EF8" w:rsidP="00E05689">
      <w:pPr>
        <w:adjustRightInd w:val="0"/>
        <w:spacing w:before="120" w:after="120"/>
        <w:ind w:left="1843"/>
        <w:jc w:val="both"/>
      </w:pPr>
      <w:r w:rsidRPr="000F4314">
        <w:t xml:space="preserve">In that financial year, Michael worked for a total of 100 days for Principal </w:t>
      </w:r>
      <w:r w:rsidR="0047092F">
        <w:t>B</w:t>
      </w:r>
      <w:r w:rsidRPr="000F4314">
        <w:t xml:space="preserve">, which is an average of 8.3 days per </w:t>
      </w:r>
      <w:r w:rsidRPr="00B61B7C">
        <w:t>month</w:t>
      </w:r>
      <w:r w:rsidR="00BB6EF9">
        <w:t xml:space="preserve"> </w:t>
      </w:r>
      <w:r w:rsidR="00BB6EF9" w:rsidRPr="000F4314">
        <w:t>(100 days divided by 12 months)</w:t>
      </w:r>
      <w:r w:rsidRPr="00B61B7C">
        <w:t xml:space="preserve">. As a result, </w:t>
      </w:r>
      <w:r w:rsidR="0047092F" w:rsidRPr="00E05689">
        <w:t>the Commissioner will be satisfied that Michael ordinarily performed services of that kind to the public generally in that financial year</w:t>
      </w:r>
      <w:r w:rsidRPr="00B61B7C">
        <w:t xml:space="preserve">. </w:t>
      </w:r>
      <w:r w:rsidR="0047092F" w:rsidRPr="00E05689">
        <w:t>Principal B can exclude the payments it makes to Michael from its taxable wages</w:t>
      </w:r>
      <w:r w:rsidR="00E05689">
        <w:t>.</w:t>
      </w:r>
    </w:p>
    <w:p w14:paraId="17E443B4" w14:textId="77777777" w:rsidR="00B74F17" w:rsidRDefault="00B74F17">
      <w:pPr>
        <w:widowControl/>
        <w:suppressAutoHyphens w:val="0"/>
        <w:autoSpaceDE/>
        <w:spacing w:after="200" w:line="276" w:lineRule="auto"/>
        <w:rPr>
          <w:rFonts w:asciiTheme="minorHAnsi" w:hAnsiTheme="minorHAnsi" w:cstheme="minorHAnsi"/>
          <w:u w:val="single"/>
          <w:lang w:val="en"/>
        </w:rPr>
      </w:pPr>
      <w:r>
        <w:rPr>
          <w:rFonts w:asciiTheme="minorHAnsi" w:hAnsiTheme="minorHAnsi" w:cstheme="minorHAnsi"/>
          <w:u w:val="single"/>
          <w:lang w:val="en"/>
        </w:rPr>
        <w:br w:type="page"/>
      </w:r>
    </w:p>
    <w:p w14:paraId="2192A487" w14:textId="77777777" w:rsidR="00B74F17" w:rsidRDefault="00B74F17" w:rsidP="00E05689">
      <w:pPr>
        <w:adjustRightInd w:val="0"/>
        <w:spacing w:before="120" w:after="120"/>
        <w:ind w:left="1843"/>
        <w:jc w:val="both"/>
        <w:rPr>
          <w:rFonts w:asciiTheme="minorHAnsi" w:hAnsiTheme="minorHAnsi" w:cstheme="minorHAnsi"/>
          <w:u w:val="single"/>
          <w:lang w:val="en"/>
        </w:rPr>
      </w:pPr>
    </w:p>
    <w:p w14:paraId="58900CB9" w14:textId="77777777" w:rsidR="00B74F17" w:rsidRDefault="00B74F17" w:rsidP="00E05689">
      <w:pPr>
        <w:adjustRightInd w:val="0"/>
        <w:spacing w:before="120" w:after="120"/>
        <w:ind w:left="1843"/>
        <w:jc w:val="both"/>
        <w:rPr>
          <w:rFonts w:asciiTheme="minorHAnsi" w:hAnsiTheme="minorHAnsi" w:cstheme="minorHAnsi"/>
          <w:u w:val="single"/>
          <w:lang w:val="en"/>
        </w:rPr>
      </w:pPr>
    </w:p>
    <w:p w14:paraId="6B049E50" w14:textId="11BE9CBF" w:rsidR="00F26EF8" w:rsidRDefault="00F26EF8" w:rsidP="00B66E9C">
      <w:pPr>
        <w:adjustRightInd w:val="0"/>
        <w:spacing w:before="120" w:after="120"/>
        <w:ind w:left="1843"/>
        <w:rPr>
          <w:rFonts w:asciiTheme="minorHAnsi" w:hAnsiTheme="minorHAnsi" w:cstheme="minorHAnsi"/>
          <w:lang w:val="en"/>
        </w:rPr>
      </w:pPr>
      <w:r w:rsidRPr="00E05689">
        <w:rPr>
          <w:rFonts w:asciiTheme="minorHAnsi" w:hAnsiTheme="minorHAnsi" w:cstheme="minorHAnsi"/>
          <w:u w:val="single"/>
          <w:lang w:val="en"/>
        </w:rPr>
        <w:t xml:space="preserve">Example </w:t>
      </w:r>
      <w:r w:rsidR="0047092F" w:rsidRPr="00E05689">
        <w:rPr>
          <w:rFonts w:asciiTheme="minorHAnsi" w:hAnsiTheme="minorHAnsi" w:cstheme="minorHAnsi"/>
          <w:u w:val="single"/>
          <w:lang w:val="en"/>
        </w:rPr>
        <w:t>4</w:t>
      </w:r>
      <w:r w:rsidRPr="00E05689">
        <w:rPr>
          <w:rFonts w:asciiTheme="minorHAnsi" w:hAnsiTheme="minorHAnsi" w:cstheme="minorHAnsi"/>
          <w:lang w:val="en"/>
        </w:rPr>
        <w:t xml:space="preserve">: Shelly is also a computer programmer. During the financial year, she provided </w:t>
      </w:r>
      <w:r w:rsidR="0047092F" w:rsidRPr="00E05689">
        <w:rPr>
          <w:rFonts w:asciiTheme="minorHAnsi" w:hAnsiTheme="minorHAnsi" w:cstheme="minorHAnsi"/>
          <w:lang w:val="en"/>
        </w:rPr>
        <w:t xml:space="preserve">the same type of </w:t>
      </w:r>
      <w:r w:rsidRPr="00E05689">
        <w:rPr>
          <w:rFonts w:asciiTheme="minorHAnsi" w:hAnsiTheme="minorHAnsi" w:cstheme="minorHAnsi"/>
          <w:lang w:val="en"/>
        </w:rPr>
        <w:t xml:space="preserve">services to Principal </w:t>
      </w:r>
      <w:r w:rsidR="0047092F" w:rsidRPr="00E05689">
        <w:rPr>
          <w:rFonts w:asciiTheme="minorHAnsi" w:hAnsiTheme="minorHAnsi" w:cstheme="minorHAnsi"/>
          <w:lang w:val="en"/>
        </w:rPr>
        <w:t>D</w:t>
      </w:r>
      <w:r w:rsidRPr="00E05689">
        <w:rPr>
          <w:rFonts w:asciiTheme="minorHAnsi" w:hAnsiTheme="minorHAnsi" w:cstheme="minorHAnsi"/>
          <w:lang w:val="en"/>
        </w:rPr>
        <w:t xml:space="preserve"> and Principal </w:t>
      </w:r>
      <w:r w:rsidR="0047092F" w:rsidRPr="00E05689">
        <w:rPr>
          <w:rFonts w:asciiTheme="minorHAnsi" w:hAnsiTheme="minorHAnsi" w:cstheme="minorHAnsi"/>
          <w:lang w:val="en"/>
        </w:rPr>
        <w:t>E</w:t>
      </w:r>
      <w:r w:rsidRPr="00E05689">
        <w:rPr>
          <w:rFonts w:asciiTheme="minorHAnsi" w:hAnsiTheme="minorHAnsi" w:cstheme="minorHAnsi"/>
          <w:lang w:val="en"/>
        </w:rPr>
        <w:t xml:space="preserve">. Under her contract for service with Principal </w:t>
      </w:r>
      <w:r w:rsidR="0047092F" w:rsidRPr="00E05689">
        <w:rPr>
          <w:rFonts w:asciiTheme="minorHAnsi" w:hAnsiTheme="minorHAnsi" w:cstheme="minorHAnsi"/>
          <w:lang w:val="en"/>
        </w:rPr>
        <w:t>D</w:t>
      </w:r>
      <w:r w:rsidRPr="00E05689">
        <w:rPr>
          <w:rFonts w:asciiTheme="minorHAnsi" w:hAnsiTheme="minorHAnsi" w:cstheme="minorHAnsi"/>
          <w:lang w:val="en"/>
        </w:rPr>
        <w:t>, she provided her services as follows during the financial year:</w:t>
      </w: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123"/>
      </w:tblGrid>
      <w:tr w:rsidR="00F26EF8" w:rsidRPr="00B61B7C" w14:paraId="59D45F9B" w14:textId="77777777" w:rsidTr="00B66E9C">
        <w:tc>
          <w:tcPr>
            <w:tcW w:w="3186" w:type="dxa"/>
            <w:shd w:val="clear" w:color="auto" w:fill="DAEEF3" w:themeFill="accent5" w:themeFillTint="33"/>
            <w:tcMar>
              <w:top w:w="57" w:type="dxa"/>
              <w:left w:w="57" w:type="dxa"/>
              <w:bottom w:w="57" w:type="dxa"/>
              <w:right w:w="57" w:type="dxa"/>
            </w:tcMar>
          </w:tcPr>
          <w:p w14:paraId="2B3A5268" w14:textId="77777777" w:rsidR="00F26EF8" w:rsidRPr="00EF51AA" w:rsidRDefault="00F26EF8" w:rsidP="00B66E9C">
            <w:pPr>
              <w:adjustRightInd w:val="0"/>
              <w:ind w:left="-1"/>
              <w:jc w:val="center"/>
              <w:rPr>
                <w:b/>
                <w:bCs/>
              </w:rPr>
            </w:pPr>
            <w:r w:rsidRPr="00EF51AA">
              <w:rPr>
                <w:b/>
                <w:bCs/>
              </w:rPr>
              <w:t>Month</w:t>
            </w:r>
          </w:p>
        </w:tc>
        <w:tc>
          <w:tcPr>
            <w:tcW w:w="3123" w:type="dxa"/>
            <w:shd w:val="clear" w:color="auto" w:fill="DAEEF3" w:themeFill="accent5" w:themeFillTint="33"/>
            <w:tcMar>
              <w:top w:w="57" w:type="dxa"/>
              <w:left w:w="57" w:type="dxa"/>
              <w:bottom w:w="57" w:type="dxa"/>
              <w:right w:w="57" w:type="dxa"/>
            </w:tcMar>
          </w:tcPr>
          <w:p w14:paraId="7778369F" w14:textId="463EC531" w:rsidR="00F26EF8" w:rsidRPr="00B61B7C" w:rsidRDefault="00F26EF8" w:rsidP="00B66E9C">
            <w:pPr>
              <w:adjustRightInd w:val="0"/>
              <w:jc w:val="center"/>
              <w:rPr>
                <w:b/>
                <w:bCs/>
              </w:rPr>
            </w:pPr>
            <w:r w:rsidRPr="00E33744">
              <w:rPr>
                <w:b/>
                <w:bCs/>
              </w:rPr>
              <w:t xml:space="preserve">Number of days worked for Principal </w:t>
            </w:r>
            <w:r w:rsidR="00B72D63">
              <w:rPr>
                <w:b/>
                <w:bCs/>
              </w:rPr>
              <w:t>D</w:t>
            </w:r>
          </w:p>
        </w:tc>
      </w:tr>
      <w:tr w:rsidR="00F26EF8" w:rsidRPr="00B61B7C" w14:paraId="47757F87" w14:textId="77777777" w:rsidTr="00B66E9C">
        <w:tc>
          <w:tcPr>
            <w:tcW w:w="3186" w:type="dxa"/>
            <w:tcMar>
              <w:top w:w="57" w:type="dxa"/>
              <w:left w:w="57" w:type="dxa"/>
              <w:bottom w:w="57" w:type="dxa"/>
              <w:right w:w="57" w:type="dxa"/>
            </w:tcMar>
          </w:tcPr>
          <w:p w14:paraId="4364A23D" w14:textId="77777777" w:rsidR="00F26EF8" w:rsidRPr="00B61B7C" w:rsidRDefault="00F26EF8" w:rsidP="00B66E9C">
            <w:pPr>
              <w:adjustRightInd w:val="0"/>
              <w:jc w:val="center"/>
              <w:rPr>
                <w:bCs/>
              </w:rPr>
            </w:pPr>
            <w:r w:rsidRPr="00B61B7C">
              <w:t>July</w:t>
            </w:r>
          </w:p>
        </w:tc>
        <w:tc>
          <w:tcPr>
            <w:tcW w:w="3123" w:type="dxa"/>
            <w:tcMar>
              <w:top w:w="57" w:type="dxa"/>
              <w:left w:w="57" w:type="dxa"/>
              <w:bottom w:w="57" w:type="dxa"/>
              <w:right w:w="57" w:type="dxa"/>
            </w:tcMar>
          </w:tcPr>
          <w:p w14:paraId="06B0CB57" w14:textId="77777777" w:rsidR="00F26EF8" w:rsidRPr="00B61B7C" w:rsidRDefault="00F26EF8" w:rsidP="00B66E9C">
            <w:pPr>
              <w:adjustRightInd w:val="0"/>
              <w:ind w:left="219"/>
              <w:jc w:val="center"/>
              <w:rPr>
                <w:bCs/>
              </w:rPr>
            </w:pPr>
            <w:r w:rsidRPr="00B61B7C">
              <w:rPr>
                <w:bCs/>
              </w:rPr>
              <w:t>11</w:t>
            </w:r>
          </w:p>
        </w:tc>
      </w:tr>
      <w:tr w:rsidR="00F26EF8" w:rsidRPr="00B61B7C" w14:paraId="5D6E7956" w14:textId="77777777" w:rsidTr="00B66E9C">
        <w:tc>
          <w:tcPr>
            <w:tcW w:w="3186" w:type="dxa"/>
            <w:tcMar>
              <w:top w:w="57" w:type="dxa"/>
              <w:left w:w="57" w:type="dxa"/>
              <w:bottom w:w="57" w:type="dxa"/>
              <w:right w:w="57" w:type="dxa"/>
            </w:tcMar>
          </w:tcPr>
          <w:p w14:paraId="01AA3D5B" w14:textId="77777777" w:rsidR="00F26EF8" w:rsidRPr="00B61B7C" w:rsidRDefault="00F26EF8" w:rsidP="00B66E9C">
            <w:pPr>
              <w:adjustRightInd w:val="0"/>
              <w:jc w:val="center"/>
              <w:rPr>
                <w:bCs/>
              </w:rPr>
            </w:pPr>
            <w:r w:rsidRPr="00B61B7C">
              <w:t>August</w:t>
            </w:r>
          </w:p>
        </w:tc>
        <w:tc>
          <w:tcPr>
            <w:tcW w:w="3123" w:type="dxa"/>
            <w:tcMar>
              <w:top w:w="57" w:type="dxa"/>
              <w:left w:w="57" w:type="dxa"/>
              <w:bottom w:w="57" w:type="dxa"/>
              <w:right w:w="57" w:type="dxa"/>
            </w:tcMar>
          </w:tcPr>
          <w:p w14:paraId="7B008154" w14:textId="77777777" w:rsidR="00F26EF8" w:rsidRPr="00B61B7C" w:rsidRDefault="00F26EF8" w:rsidP="00B66E9C">
            <w:pPr>
              <w:adjustRightInd w:val="0"/>
              <w:ind w:left="219"/>
              <w:jc w:val="center"/>
              <w:rPr>
                <w:bCs/>
              </w:rPr>
            </w:pPr>
            <w:r w:rsidRPr="00B61B7C">
              <w:rPr>
                <w:bCs/>
              </w:rPr>
              <w:t>16</w:t>
            </w:r>
          </w:p>
        </w:tc>
      </w:tr>
      <w:tr w:rsidR="00F26EF8" w:rsidRPr="00B61B7C" w14:paraId="421C70B7" w14:textId="77777777" w:rsidTr="00B66E9C">
        <w:tc>
          <w:tcPr>
            <w:tcW w:w="3186" w:type="dxa"/>
            <w:tcMar>
              <w:top w:w="57" w:type="dxa"/>
              <w:left w:w="57" w:type="dxa"/>
              <w:bottom w:w="57" w:type="dxa"/>
              <w:right w:w="57" w:type="dxa"/>
            </w:tcMar>
          </w:tcPr>
          <w:p w14:paraId="7231CD5A" w14:textId="77777777" w:rsidR="00F26EF8" w:rsidRPr="00B61B7C" w:rsidRDefault="00F26EF8" w:rsidP="00B66E9C">
            <w:pPr>
              <w:adjustRightInd w:val="0"/>
              <w:jc w:val="center"/>
              <w:rPr>
                <w:bCs/>
              </w:rPr>
            </w:pPr>
            <w:r w:rsidRPr="00B61B7C">
              <w:t>September</w:t>
            </w:r>
          </w:p>
        </w:tc>
        <w:tc>
          <w:tcPr>
            <w:tcW w:w="3123" w:type="dxa"/>
            <w:tcMar>
              <w:top w:w="57" w:type="dxa"/>
              <w:left w:w="57" w:type="dxa"/>
              <w:bottom w:w="57" w:type="dxa"/>
              <w:right w:w="57" w:type="dxa"/>
            </w:tcMar>
          </w:tcPr>
          <w:p w14:paraId="7B9FF239" w14:textId="77777777" w:rsidR="00F26EF8" w:rsidRPr="00B61B7C" w:rsidRDefault="00F26EF8" w:rsidP="00B66E9C">
            <w:pPr>
              <w:adjustRightInd w:val="0"/>
              <w:ind w:left="219"/>
              <w:jc w:val="center"/>
              <w:rPr>
                <w:bCs/>
              </w:rPr>
            </w:pPr>
            <w:r w:rsidRPr="00B61B7C">
              <w:rPr>
                <w:bCs/>
              </w:rPr>
              <w:t>-</w:t>
            </w:r>
          </w:p>
        </w:tc>
      </w:tr>
      <w:tr w:rsidR="00F26EF8" w:rsidRPr="00B61B7C" w14:paraId="59B16AAF" w14:textId="77777777" w:rsidTr="00B66E9C">
        <w:tc>
          <w:tcPr>
            <w:tcW w:w="3186" w:type="dxa"/>
            <w:tcMar>
              <w:top w:w="57" w:type="dxa"/>
              <w:left w:w="57" w:type="dxa"/>
              <w:bottom w:w="57" w:type="dxa"/>
              <w:right w:w="57" w:type="dxa"/>
            </w:tcMar>
          </w:tcPr>
          <w:p w14:paraId="581CE7A2" w14:textId="77777777" w:rsidR="00F26EF8" w:rsidRPr="00B61B7C" w:rsidRDefault="00F26EF8" w:rsidP="00B66E9C">
            <w:pPr>
              <w:adjustRightInd w:val="0"/>
              <w:jc w:val="center"/>
              <w:rPr>
                <w:bCs/>
              </w:rPr>
            </w:pPr>
            <w:r w:rsidRPr="00B61B7C">
              <w:rPr>
                <w:bCs/>
              </w:rPr>
              <w:t>October</w:t>
            </w:r>
          </w:p>
        </w:tc>
        <w:tc>
          <w:tcPr>
            <w:tcW w:w="3123" w:type="dxa"/>
            <w:tcMar>
              <w:top w:w="57" w:type="dxa"/>
              <w:left w:w="57" w:type="dxa"/>
              <w:bottom w:w="57" w:type="dxa"/>
              <w:right w:w="57" w:type="dxa"/>
            </w:tcMar>
          </w:tcPr>
          <w:p w14:paraId="67EF12CF" w14:textId="77777777" w:rsidR="00F26EF8" w:rsidRPr="00B61B7C" w:rsidRDefault="00F26EF8" w:rsidP="00B66E9C">
            <w:pPr>
              <w:adjustRightInd w:val="0"/>
              <w:ind w:left="219"/>
              <w:jc w:val="center"/>
              <w:rPr>
                <w:bCs/>
              </w:rPr>
            </w:pPr>
            <w:r w:rsidRPr="00B61B7C">
              <w:rPr>
                <w:bCs/>
              </w:rPr>
              <w:t>-</w:t>
            </w:r>
          </w:p>
        </w:tc>
      </w:tr>
      <w:tr w:rsidR="00F26EF8" w:rsidRPr="00B61B7C" w14:paraId="0480FD43" w14:textId="77777777" w:rsidTr="00B66E9C">
        <w:tc>
          <w:tcPr>
            <w:tcW w:w="3186" w:type="dxa"/>
            <w:tcMar>
              <w:top w:w="57" w:type="dxa"/>
              <w:left w:w="57" w:type="dxa"/>
              <w:bottom w:w="57" w:type="dxa"/>
              <w:right w:w="57" w:type="dxa"/>
            </w:tcMar>
          </w:tcPr>
          <w:p w14:paraId="0656B377" w14:textId="77777777" w:rsidR="00F26EF8" w:rsidRPr="00B61B7C" w:rsidRDefault="00F26EF8" w:rsidP="00B66E9C">
            <w:pPr>
              <w:adjustRightInd w:val="0"/>
              <w:jc w:val="center"/>
              <w:rPr>
                <w:bCs/>
              </w:rPr>
            </w:pPr>
            <w:r w:rsidRPr="00B61B7C">
              <w:rPr>
                <w:bCs/>
              </w:rPr>
              <w:t>November</w:t>
            </w:r>
          </w:p>
        </w:tc>
        <w:tc>
          <w:tcPr>
            <w:tcW w:w="3123" w:type="dxa"/>
            <w:tcMar>
              <w:top w:w="57" w:type="dxa"/>
              <w:left w:w="57" w:type="dxa"/>
              <w:bottom w:w="57" w:type="dxa"/>
              <w:right w:w="57" w:type="dxa"/>
            </w:tcMar>
          </w:tcPr>
          <w:p w14:paraId="472F8152" w14:textId="77777777" w:rsidR="00F26EF8" w:rsidRPr="00B61B7C" w:rsidRDefault="00F26EF8" w:rsidP="00B66E9C">
            <w:pPr>
              <w:adjustRightInd w:val="0"/>
              <w:ind w:left="219"/>
              <w:jc w:val="center"/>
              <w:rPr>
                <w:bCs/>
              </w:rPr>
            </w:pPr>
            <w:r w:rsidRPr="00B61B7C">
              <w:rPr>
                <w:bCs/>
              </w:rPr>
              <w:t>-</w:t>
            </w:r>
          </w:p>
        </w:tc>
      </w:tr>
      <w:tr w:rsidR="00F26EF8" w:rsidRPr="00B61B7C" w14:paraId="3178ED9F" w14:textId="77777777" w:rsidTr="00B66E9C">
        <w:tc>
          <w:tcPr>
            <w:tcW w:w="3186" w:type="dxa"/>
            <w:tcMar>
              <w:top w:w="57" w:type="dxa"/>
              <w:left w:w="57" w:type="dxa"/>
              <w:bottom w:w="57" w:type="dxa"/>
              <w:right w:w="57" w:type="dxa"/>
            </w:tcMar>
          </w:tcPr>
          <w:p w14:paraId="638097FA" w14:textId="77777777" w:rsidR="00F26EF8" w:rsidRPr="00B61B7C" w:rsidRDefault="00F26EF8" w:rsidP="00B66E9C">
            <w:pPr>
              <w:adjustRightInd w:val="0"/>
              <w:jc w:val="center"/>
              <w:rPr>
                <w:bCs/>
              </w:rPr>
            </w:pPr>
            <w:r w:rsidRPr="00B61B7C">
              <w:rPr>
                <w:bCs/>
              </w:rPr>
              <w:t>December</w:t>
            </w:r>
          </w:p>
        </w:tc>
        <w:tc>
          <w:tcPr>
            <w:tcW w:w="3123" w:type="dxa"/>
            <w:tcMar>
              <w:top w:w="57" w:type="dxa"/>
              <w:left w:w="57" w:type="dxa"/>
              <w:bottom w:w="57" w:type="dxa"/>
              <w:right w:w="57" w:type="dxa"/>
            </w:tcMar>
          </w:tcPr>
          <w:p w14:paraId="57534B34" w14:textId="77777777" w:rsidR="00F26EF8" w:rsidRPr="00B61B7C" w:rsidRDefault="00F26EF8" w:rsidP="00B66E9C">
            <w:pPr>
              <w:adjustRightInd w:val="0"/>
              <w:ind w:left="219"/>
              <w:jc w:val="center"/>
              <w:rPr>
                <w:bCs/>
              </w:rPr>
            </w:pPr>
            <w:r w:rsidRPr="00B61B7C">
              <w:rPr>
                <w:bCs/>
              </w:rPr>
              <w:t>22</w:t>
            </w:r>
          </w:p>
        </w:tc>
      </w:tr>
      <w:tr w:rsidR="00F26EF8" w:rsidRPr="00B61B7C" w14:paraId="69EE2104" w14:textId="77777777" w:rsidTr="00B66E9C">
        <w:tc>
          <w:tcPr>
            <w:tcW w:w="3186" w:type="dxa"/>
            <w:tcMar>
              <w:top w:w="57" w:type="dxa"/>
              <w:left w:w="57" w:type="dxa"/>
              <w:bottom w:w="57" w:type="dxa"/>
              <w:right w:w="57" w:type="dxa"/>
            </w:tcMar>
          </w:tcPr>
          <w:p w14:paraId="0740BD8A" w14:textId="77777777" w:rsidR="00F26EF8" w:rsidRPr="00B61B7C" w:rsidRDefault="00F26EF8" w:rsidP="00B66E9C">
            <w:pPr>
              <w:adjustRightInd w:val="0"/>
              <w:jc w:val="center"/>
              <w:rPr>
                <w:bCs/>
              </w:rPr>
            </w:pPr>
            <w:r w:rsidRPr="00B61B7C">
              <w:rPr>
                <w:bCs/>
              </w:rPr>
              <w:t>January</w:t>
            </w:r>
          </w:p>
        </w:tc>
        <w:tc>
          <w:tcPr>
            <w:tcW w:w="3123" w:type="dxa"/>
            <w:tcMar>
              <w:top w:w="57" w:type="dxa"/>
              <w:left w:w="57" w:type="dxa"/>
              <w:bottom w:w="57" w:type="dxa"/>
              <w:right w:w="57" w:type="dxa"/>
            </w:tcMar>
          </w:tcPr>
          <w:p w14:paraId="59B40344" w14:textId="77777777" w:rsidR="00F26EF8" w:rsidRPr="00B61B7C" w:rsidRDefault="00F26EF8" w:rsidP="00B66E9C">
            <w:pPr>
              <w:adjustRightInd w:val="0"/>
              <w:ind w:left="219"/>
              <w:jc w:val="center"/>
              <w:rPr>
                <w:bCs/>
              </w:rPr>
            </w:pPr>
            <w:r w:rsidRPr="00B61B7C">
              <w:rPr>
                <w:bCs/>
              </w:rPr>
              <w:t>21</w:t>
            </w:r>
          </w:p>
        </w:tc>
      </w:tr>
      <w:tr w:rsidR="00F26EF8" w:rsidRPr="00B61B7C" w14:paraId="04834A0D" w14:textId="77777777" w:rsidTr="00B66E9C">
        <w:tc>
          <w:tcPr>
            <w:tcW w:w="3186" w:type="dxa"/>
            <w:tcMar>
              <w:top w:w="57" w:type="dxa"/>
              <w:left w:w="57" w:type="dxa"/>
              <w:bottom w:w="57" w:type="dxa"/>
              <w:right w:w="57" w:type="dxa"/>
            </w:tcMar>
          </w:tcPr>
          <w:p w14:paraId="6F758412" w14:textId="77777777" w:rsidR="00F26EF8" w:rsidRPr="00B61B7C" w:rsidRDefault="00F26EF8" w:rsidP="00B66E9C">
            <w:pPr>
              <w:adjustRightInd w:val="0"/>
              <w:jc w:val="center"/>
              <w:rPr>
                <w:bCs/>
              </w:rPr>
            </w:pPr>
            <w:r w:rsidRPr="00B61B7C">
              <w:rPr>
                <w:bCs/>
              </w:rPr>
              <w:t>February</w:t>
            </w:r>
          </w:p>
        </w:tc>
        <w:tc>
          <w:tcPr>
            <w:tcW w:w="3123" w:type="dxa"/>
            <w:tcMar>
              <w:top w:w="57" w:type="dxa"/>
              <w:left w:w="57" w:type="dxa"/>
              <w:bottom w:w="57" w:type="dxa"/>
              <w:right w:w="57" w:type="dxa"/>
            </w:tcMar>
          </w:tcPr>
          <w:p w14:paraId="0A589CC8" w14:textId="77777777" w:rsidR="00F26EF8" w:rsidRPr="00B61B7C" w:rsidRDefault="00F26EF8" w:rsidP="00B66E9C">
            <w:pPr>
              <w:adjustRightInd w:val="0"/>
              <w:ind w:left="219"/>
              <w:jc w:val="center"/>
              <w:rPr>
                <w:bCs/>
              </w:rPr>
            </w:pPr>
            <w:r w:rsidRPr="00B61B7C">
              <w:rPr>
                <w:bCs/>
              </w:rPr>
              <w:t>20</w:t>
            </w:r>
          </w:p>
        </w:tc>
      </w:tr>
      <w:tr w:rsidR="00F26EF8" w:rsidRPr="00B61B7C" w14:paraId="59939E25" w14:textId="77777777" w:rsidTr="00B66E9C">
        <w:tc>
          <w:tcPr>
            <w:tcW w:w="3186" w:type="dxa"/>
            <w:tcMar>
              <w:top w:w="57" w:type="dxa"/>
              <w:left w:w="57" w:type="dxa"/>
              <w:bottom w:w="57" w:type="dxa"/>
              <w:right w:w="57" w:type="dxa"/>
            </w:tcMar>
          </w:tcPr>
          <w:p w14:paraId="3BBC7A56" w14:textId="77777777" w:rsidR="00F26EF8" w:rsidRPr="00B61B7C" w:rsidRDefault="00F26EF8" w:rsidP="00B66E9C">
            <w:pPr>
              <w:adjustRightInd w:val="0"/>
              <w:jc w:val="center"/>
              <w:rPr>
                <w:bCs/>
              </w:rPr>
            </w:pPr>
            <w:r w:rsidRPr="00B61B7C">
              <w:rPr>
                <w:bCs/>
              </w:rPr>
              <w:t>March</w:t>
            </w:r>
          </w:p>
        </w:tc>
        <w:tc>
          <w:tcPr>
            <w:tcW w:w="3123" w:type="dxa"/>
            <w:tcMar>
              <w:top w:w="57" w:type="dxa"/>
              <w:left w:w="57" w:type="dxa"/>
              <w:bottom w:w="57" w:type="dxa"/>
              <w:right w:w="57" w:type="dxa"/>
            </w:tcMar>
          </w:tcPr>
          <w:p w14:paraId="48AE1620" w14:textId="77777777" w:rsidR="00F26EF8" w:rsidRPr="00B61B7C" w:rsidRDefault="00F26EF8" w:rsidP="00B66E9C">
            <w:pPr>
              <w:adjustRightInd w:val="0"/>
              <w:ind w:left="219"/>
              <w:jc w:val="center"/>
              <w:rPr>
                <w:bCs/>
              </w:rPr>
            </w:pPr>
            <w:r w:rsidRPr="00B61B7C">
              <w:rPr>
                <w:bCs/>
              </w:rPr>
              <w:t>-</w:t>
            </w:r>
          </w:p>
        </w:tc>
      </w:tr>
      <w:tr w:rsidR="00F26EF8" w:rsidRPr="00B61B7C" w14:paraId="52AF2687" w14:textId="77777777" w:rsidTr="00B66E9C">
        <w:tc>
          <w:tcPr>
            <w:tcW w:w="3186" w:type="dxa"/>
            <w:tcMar>
              <w:top w:w="57" w:type="dxa"/>
              <w:left w:w="57" w:type="dxa"/>
              <w:bottom w:w="57" w:type="dxa"/>
              <w:right w:w="57" w:type="dxa"/>
            </w:tcMar>
          </w:tcPr>
          <w:p w14:paraId="0F26C716" w14:textId="77777777" w:rsidR="00F26EF8" w:rsidRPr="00B61B7C" w:rsidRDefault="00F26EF8" w:rsidP="00B66E9C">
            <w:pPr>
              <w:adjustRightInd w:val="0"/>
              <w:jc w:val="center"/>
              <w:rPr>
                <w:bCs/>
              </w:rPr>
            </w:pPr>
            <w:r w:rsidRPr="00B61B7C">
              <w:rPr>
                <w:bCs/>
              </w:rPr>
              <w:t>April</w:t>
            </w:r>
          </w:p>
        </w:tc>
        <w:tc>
          <w:tcPr>
            <w:tcW w:w="3123" w:type="dxa"/>
            <w:tcMar>
              <w:top w:w="57" w:type="dxa"/>
              <w:left w:w="57" w:type="dxa"/>
              <w:bottom w:w="57" w:type="dxa"/>
              <w:right w:w="57" w:type="dxa"/>
            </w:tcMar>
          </w:tcPr>
          <w:p w14:paraId="5DB06212" w14:textId="77777777" w:rsidR="00F26EF8" w:rsidRPr="00B61B7C" w:rsidRDefault="00F26EF8" w:rsidP="00B66E9C">
            <w:pPr>
              <w:adjustRightInd w:val="0"/>
              <w:ind w:left="219"/>
              <w:jc w:val="center"/>
              <w:rPr>
                <w:bCs/>
              </w:rPr>
            </w:pPr>
            <w:r w:rsidRPr="00B61B7C">
              <w:rPr>
                <w:bCs/>
              </w:rPr>
              <w:t>-</w:t>
            </w:r>
          </w:p>
        </w:tc>
      </w:tr>
      <w:tr w:rsidR="00F26EF8" w:rsidRPr="00B61B7C" w14:paraId="7E2063E6" w14:textId="77777777" w:rsidTr="00B66E9C">
        <w:tc>
          <w:tcPr>
            <w:tcW w:w="3186" w:type="dxa"/>
            <w:tcMar>
              <w:top w:w="57" w:type="dxa"/>
              <w:left w:w="57" w:type="dxa"/>
              <w:bottom w:w="57" w:type="dxa"/>
              <w:right w:w="57" w:type="dxa"/>
            </w:tcMar>
          </w:tcPr>
          <w:p w14:paraId="2465E8A7" w14:textId="77777777" w:rsidR="00F26EF8" w:rsidRPr="00B61B7C" w:rsidRDefault="00F26EF8" w:rsidP="00B66E9C">
            <w:pPr>
              <w:adjustRightInd w:val="0"/>
              <w:jc w:val="center"/>
              <w:rPr>
                <w:bCs/>
              </w:rPr>
            </w:pPr>
            <w:r w:rsidRPr="00B61B7C">
              <w:rPr>
                <w:bCs/>
              </w:rPr>
              <w:t>May</w:t>
            </w:r>
          </w:p>
        </w:tc>
        <w:tc>
          <w:tcPr>
            <w:tcW w:w="3123" w:type="dxa"/>
            <w:tcMar>
              <w:top w:w="57" w:type="dxa"/>
              <w:left w:w="57" w:type="dxa"/>
              <w:bottom w:w="57" w:type="dxa"/>
              <w:right w:w="57" w:type="dxa"/>
            </w:tcMar>
          </w:tcPr>
          <w:p w14:paraId="749B1FD0" w14:textId="77777777" w:rsidR="00F26EF8" w:rsidRPr="00B61B7C" w:rsidRDefault="00F26EF8" w:rsidP="00B66E9C">
            <w:pPr>
              <w:adjustRightInd w:val="0"/>
              <w:ind w:left="219"/>
              <w:jc w:val="center"/>
              <w:rPr>
                <w:bCs/>
              </w:rPr>
            </w:pPr>
            <w:r w:rsidRPr="00B61B7C">
              <w:rPr>
                <w:bCs/>
              </w:rPr>
              <w:t>18</w:t>
            </w:r>
          </w:p>
        </w:tc>
      </w:tr>
      <w:tr w:rsidR="00F26EF8" w:rsidRPr="00B61B7C" w14:paraId="1D3ACBAE" w14:textId="77777777" w:rsidTr="00B66E9C">
        <w:tc>
          <w:tcPr>
            <w:tcW w:w="3186" w:type="dxa"/>
            <w:tcMar>
              <w:top w:w="57" w:type="dxa"/>
              <w:left w:w="57" w:type="dxa"/>
              <w:bottom w:w="57" w:type="dxa"/>
              <w:right w:w="57" w:type="dxa"/>
            </w:tcMar>
          </w:tcPr>
          <w:p w14:paraId="3BA559C7" w14:textId="77777777" w:rsidR="00F26EF8" w:rsidRPr="00B61B7C" w:rsidRDefault="00F26EF8" w:rsidP="00B66E9C">
            <w:pPr>
              <w:adjustRightInd w:val="0"/>
              <w:jc w:val="center"/>
              <w:rPr>
                <w:bCs/>
              </w:rPr>
            </w:pPr>
            <w:r w:rsidRPr="00B61B7C">
              <w:rPr>
                <w:bCs/>
              </w:rPr>
              <w:t>June</w:t>
            </w:r>
          </w:p>
        </w:tc>
        <w:tc>
          <w:tcPr>
            <w:tcW w:w="3123" w:type="dxa"/>
            <w:tcMar>
              <w:top w:w="57" w:type="dxa"/>
              <w:left w:w="57" w:type="dxa"/>
              <w:bottom w:w="57" w:type="dxa"/>
              <w:right w:w="57" w:type="dxa"/>
            </w:tcMar>
          </w:tcPr>
          <w:p w14:paraId="5171FE6F" w14:textId="77777777" w:rsidR="00F26EF8" w:rsidRPr="00B61B7C" w:rsidRDefault="00F26EF8" w:rsidP="00B66E9C">
            <w:pPr>
              <w:adjustRightInd w:val="0"/>
              <w:ind w:left="219"/>
              <w:jc w:val="center"/>
              <w:rPr>
                <w:bCs/>
              </w:rPr>
            </w:pPr>
            <w:r w:rsidRPr="00B61B7C">
              <w:rPr>
                <w:bCs/>
              </w:rPr>
              <w:t>-</w:t>
            </w:r>
          </w:p>
        </w:tc>
      </w:tr>
      <w:tr w:rsidR="00F26EF8" w:rsidRPr="00B61B7C" w14:paraId="737DA02B" w14:textId="77777777" w:rsidTr="00B66E9C">
        <w:tc>
          <w:tcPr>
            <w:tcW w:w="3186" w:type="dxa"/>
            <w:tcMar>
              <w:top w:w="57" w:type="dxa"/>
              <w:left w:w="57" w:type="dxa"/>
              <w:bottom w:w="57" w:type="dxa"/>
              <w:right w:w="57" w:type="dxa"/>
            </w:tcMar>
          </w:tcPr>
          <w:p w14:paraId="73A4A681" w14:textId="77777777" w:rsidR="00F26EF8" w:rsidRPr="00B61B7C" w:rsidRDefault="00F26EF8" w:rsidP="00B66E9C">
            <w:pPr>
              <w:adjustRightInd w:val="0"/>
              <w:jc w:val="center"/>
              <w:rPr>
                <w:b/>
                <w:bCs/>
              </w:rPr>
            </w:pPr>
            <w:r w:rsidRPr="00B61B7C">
              <w:rPr>
                <w:b/>
                <w:bCs/>
              </w:rPr>
              <w:t>Total</w:t>
            </w:r>
          </w:p>
        </w:tc>
        <w:tc>
          <w:tcPr>
            <w:tcW w:w="3123" w:type="dxa"/>
            <w:tcMar>
              <w:top w:w="57" w:type="dxa"/>
              <w:left w:w="57" w:type="dxa"/>
              <w:bottom w:w="57" w:type="dxa"/>
              <w:right w:w="57" w:type="dxa"/>
            </w:tcMar>
          </w:tcPr>
          <w:p w14:paraId="0E9489F8" w14:textId="77777777" w:rsidR="00F26EF8" w:rsidRPr="00B61B7C" w:rsidRDefault="00F26EF8" w:rsidP="00B66E9C">
            <w:pPr>
              <w:adjustRightInd w:val="0"/>
              <w:ind w:left="219"/>
              <w:jc w:val="center"/>
              <w:rPr>
                <w:b/>
                <w:bCs/>
              </w:rPr>
            </w:pPr>
            <w:r w:rsidRPr="00B61B7C">
              <w:rPr>
                <w:b/>
                <w:bCs/>
              </w:rPr>
              <w:t>108</w:t>
            </w:r>
          </w:p>
        </w:tc>
      </w:tr>
    </w:tbl>
    <w:p w14:paraId="357690DA" w14:textId="4BCDEFA9" w:rsidR="00F26EF8" w:rsidRPr="00E05689" w:rsidRDefault="00F26EF8" w:rsidP="00E05689">
      <w:pPr>
        <w:adjustRightInd w:val="0"/>
        <w:spacing w:before="120" w:after="120"/>
        <w:ind w:left="1843"/>
        <w:jc w:val="both"/>
        <w:rPr>
          <w:rFonts w:asciiTheme="minorHAnsi" w:hAnsiTheme="minorHAnsi" w:cstheme="minorHAnsi"/>
          <w:lang w:val="en"/>
        </w:rPr>
      </w:pPr>
      <w:r w:rsidRPr="00E05689">
        <w:rPr>
          <w:rFonts w:asciiTheme="minorHAnsi" w:hAnsiTheme="minorHAnsi" w:cstheme="minorHAnsi"/>
          <w:lang w:val="en"/>
        </w:rPr>
        <w:t xml:space="preserve">In that financial year, Shelly worked for a total of 108 days for Principal </w:t>
      </w:r>
      <w:r w:rsidR="0047092F" w:rsidRPr="00E05689">
        <w:rPr>
          <w:rFonts w:asciiTheme="minorHAnsi" w:hAnsiTheme="minorHAnsi" w:cstheme="minorHAnsi"/>
          <w:lang w:val="en"/>
        </w:rPr>
        <w:t>D</w:t>
      </w:r>
      <w:r w:rsidRPr="00E05689">
        <w:rPr>
          <w:rFonts w:asciiTheme="minorHAnsi" w:hAnsiTheme="minorHAnsi" w:cstheme="minorHAnsi"/>
          <w:lang w:val="en"/>
        </w:rPr>
        <w:t>. This worked out to be 18 days per month</w:t>
      </w:r>
      <w:r w:rsidR="00BB6EF9">
        <w:rPr>
          <w:rFonts w:asciiTheme="minorHAnsi" w:hAnsiTheme="minorHAnsi" w:cstheme="minorHAnsi"/>
          <w:lang w:val="en"/>
        </w:rPr>
        <w:t xml:space="preserve"> </w:t>
      </w:r>
      <w:r w:rsidR="00BB6EF9" w:rsidRPr="005C09E2">
        <w:rPr>
          <w:rFonts w:asciiTheme="minorHAnsi" w:hAnsiTheme="minorHAnsi" w:cstheme="minorHAnsi"/>
          <w:lang w:val="en"/>
        </w:rPr>
        <w:t>(108 days divided by 6 months)</w:t>
      </w:r>
      <w:r w:rsidRPr="00E05689">
        <w:rPr>
          <w:rFonts w:asciiTheme="minorHAnsi" w:hAnsiTheme="minorHAnsi" w:cstheme="minorHAnsi"/>
          <w:lang w:val="en"/>
        </w:rPr>
        <w:t xml:space="preserve">. </w:t>
      </w:r>
      <w:r w:rsidR="0047092F" w:rsidRPr="00E05689">
        <w:rPr>
          <w:rFonts w:asciiTheme="minorHAnsi" w:hAnsiTheme="minorHAnsi" w:cstheme="minorHAnsi"/>
          <w:lang w:val="en"/>
        </w:rPr>
        <w:t>The circumstances do not meet the criteria for Principal D to exclude the payments to Shelly from its taxable wages</w:t>
      </w:r>
      <w:r w:rsidR="00E05689">
        <w:rPr>
          <w:rFonts w:asciiTheme="minorHAnsi" w:hAnsiTheme="minorHAnsi" w:cstheme="minorHAnsi"/>
          <w:lang w:val="en"/>
        </w:rPr>
        <w:t>.</w:t>
      </w:r>
    </w:p>
    <w:p w14:paraId="209FBF28" w14:textId="77777777" w:rsidR="00310E54" w:rsidRDefault="00310E54" w:rsidP="00466C6D">
      <w:pPr>
        <w:adjustRightInd w:val="0"/>
        <w:ind w:left="1134"/>
        <w:jc w:val="both"/>
        <w:rPr>
          <w:rFonts w:cs="Arial"/>
          <w:bCs/>
        </w:rPr>
      </w:pPr>
    </w:p>
    <w:p w14:paraId="4A00ADDE" w14:textId="10F34EF7" w:rsidR="00F44A8D" w:rsidRDefault="00F44A8D" w:rsidP="00466C6D">
      <w:pPr>
        <w:adjustRightInd w:val="0"/>
        <w:ind w:left="1134"/>
        <w:jc w:val="both"/>
        <w:rPr>
          <w:rFonts w:cs="Arial"/>
          <w:bCs/>
        </w:rPr>
      </w:pPr>
    </w:p>
    <w:p w14:paraId="61291F1D" w14:textId="61E71970" w:rsidR="00E451B0" w:rsidRDefault="00914C7A" w:rsidP="00466C6D">
      <w:pPr>
        <w:adjustRightInd w:val="0"/>
        <w:ind w:left="1134"/>
        <w:jc w:val="both"/>
        <w:rPr>
          <w:rFonts w:cs="Arial"/>
          <w:bCs/>
        </w:rPr>
      </w:pPr>
      <w:r>
        <w:rPr>
          <w:rFonts w:cs="Arial"/>
          <w:bCs/>
        </w:rPr>
        <w:t>Signed</w:t>
      </w:r>
    </w:p>
    <w:p w14:paraId="7E465DEC" w14:textId="5617FE8B" w:rsidR="00E451B0" w:rsidRPr="00564BD6" w:rsidRDefault="00E451B0" w:rsidP="00466C6D">
      <w:pPr>
        <w:adjustRightInd w:val="0"/>
        <w:ind w:left="1134"/>
        <w:jc w:val="both"/>
        <w:rPr>
          <w:rFonts w:cs="Arial"/>
          <w:bCs/>
        </w:rPr>
      </w:pPr>
    </w:p>
    <w:p w14:paraId="171AF192" w14:textId="74A24B42" w:rsidR="00F44A8D" w:rsidRPr="00564BD6" w:rsidRDefault="00F86625" w:rsidP="00B66E9C">
      <w:pPr>
        <w:adjustRightInd w:val="0"/>
        <w:ind w:left="1134"/>
        <w:jc w:val="both"/>
        <w:rPr>
          <w:rFonts w:cs="Arial"/>
          <w:bCs/>
        </w:rPr>
      </w:pPr>
      <w:r>
        <w:rPr>
          <w:rFonts w:cs="Arial"/>
          <w:bCs/>
        </w:rPr>
        <w:t>Lisa Holmes</w:t>
      </w:r>
    </w:p>
    <w:p w14:paraId="7FB2324C" w14:textId="5513DA37" w:rsidR="00F44A8D" w:rsidRPr="00564BD6" w:rsidRDefault="00F86625" w:rsidP="00B66E9C">
      <w:pPr>
        <w:adjustRightInd w:val="0"/>
        <w:ind w:left="1134"/>
        <w:jc w:val="both"/>
        <w:rPr>
          <w:rFonts w:cs="Arial"/>
        </w:rPr>
      </w:pPr>
      <w:r>
        <w:rPr>
          <w:rFonts w:cs="Arial"/>
        </w:rPr>
        <w:t xml:space="preserve">Acting </w:t>
      </w:r>
      <w:r w:rsidR="00F44A8D" w:rsidRPr="00564BD6">
        <w:rPr>
          <w:rFonts w:cs="Arial"/>
        </w:rPr>
        <w:t>Commissioner for ACT Revenue</w:t>
      </w:r>
    </w:p>
    <w:p w14:paraId="724079A7" w14:textId="6D2233FF" w:rsidR="00F44A8D" w:rsidRPr="00310E54" w:rsidRDefault="00F66559" w:rsidP="00B66E9C">
      <w:pPr>
        <w:adjustRightInd w:val="0"/>
        <w:ind w:left="1134"/>
        <w:jc w:val="both"/>
        <w:rPr>
          <w:rFonts w:cs="Arial"/>
          <w:bCs/>
        </w:rPr>
      </w:pPr>
      <w:r>
        <w:rPr>
          <w:rFonts w:cs="Arial"/>
          <w:bCs/>
        </w:rPr>
        <w:t>26 March</w:t>
      </w:r>
      <w:r w:rsidR="00F7196F">
        <w:rPr>
          <w:rFonts w:cs="Arial"/>
          <w:bCs/>
        </w:rPr>
        <w:t xml:space="preserve"> 2021</w:t>
      </w:r>
    </w:p>
    <w:sectPr w:rsidR="00F44A8D" w:rsidRPr="00310E54" w:rsidSect="00C07120">
      <w:headerReference w:type="default" r:id="rId9"/>
      <w:footerReference w:type="default" r:id="rId10"/>
      <w:footerReference w:type="first" r:id="rId11"/>
      <w:pgSz w:w="11910" w:h="16840" w:code="9"/>
      <w:pgMar w:top="-16" w:right="1278" w:bottom="709"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22EF7" w14:textId="77777777" w:rsidR="00867692" w:rsidRDefault="00867692" w:rsidP="005B0828">
      <w:r>
        <w:separator/>
      </w:r>
    </w:p>
  </w:endnote>
  <w:endnote w:type="continuationSeparator" w:id="0">
    <w:p w14:paraId="0181D746" w14:textId="77777777" w:rsidR="00867692" w:rsidRDefault="00867692"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EB031" w14:textId="77777777" w:rsidR="00F26EF8" w:rsidRDefault="00F26EF8">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53C5" w14:textId="77777777" w:rsidR="00F26EF8" w:rsidRPr="00F44A8D" w:rsidRDefault="00F26EF8"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60E5F" w14:textId="77777777" w:rsidR="00867692" w:rsidRDefault="00867692" w:rsidP="005B0828">
      <w:r w:rsidRPr="005B0828">
        <w:rPr>
          <w:color w:val="000000"/>
        </w:rPr>
        <w:separator/>
      </w:r>
    </w:p>
  </w:footnote>
  <w:footnote w:type="continuationSeparator" w:id="0">
    <w:p w14:paraId="5DA06F9D" w14:textId="77777777" w:rsidR="00867692" w:rsidRDefault="00867692"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CCAD" w14:textId="77777777" w:rsidR="00F26EF8" w:rsidRDefault="00F26EF8" w:rsidP="00822F9C">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898"/>
    <w:multiLevelType w:val="multilevel"/>
    <w:tmpl w:val="9A923B5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272B605C"/>
    <w:multiLevelType w:val="hybridMultilevel"/>
    <w:tmpl w:val="D38085D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2B4943D9"/>
    <w:multiLevelType w:val="hybridMultilevel"/>
    <w:tmpl w:val="CAACCF60"/>
    <w:lvl w:ilvl="0" w:tplc="19C620B8">
      <w:start w:val="1"/>
      <w:numFmt w:val="lowerLetter"/>
      <w:lvlText w:val="(%1)"/>
      <w:lvlJc w:val="left"/>
      <w:pPr>
        <w:ind w:left="2214" w:hanging="360"/>
      </w:pPr>
      <w:rPr>
        <w:rFonts w:asciiTheme="minorHAnsi" w:eastAsia="Times New Roman" w:hAnsiTheme="minorHAnsi" w:cstheme="minorHAnsi"/>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4" w15:restartNumberingAfterBreak="0">
    <w:nsid w:val="310B40AA"/>
    <w:multiLevelType w:val="multilevel"/>
    <w:tmpl w:val="12B886D2"/>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5" w15:restartNumberingAfterBreak="0">
    <w:nsid w:val="3B1E3B23"/>
    <w:multiLevelType w:val="hybridMultilevel"/>
    <w:tmpl w:val="FC947F1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 w15:restartNumberingAfterBreak="0">
    <w:nsid w:val="3FFF4D5B"/>
    <w:multiLevelType w:val="hybridMultilevel"/>
    <w:tmpl w:val="CF6AA322"/>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15:restartNumberingAfterBreak="0">
    <w:nsid w:val="62703636"/>
    <w:multiLevelType w:val="hybridMultilevel"/>
    <w:tmpl w:val="FE8E2788"/>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hint="default"/>
      </w:rPr>
    </w:lvl>
    <w:lvl w:ilvl="8" w:tplc="0C090005">
      <w:start w:val="1"/>
      <w:numFmt w:val="bullet"/>
      <w:lvlText w:val=""/>
      <w:lvlJc w:val="left"/>
      <w:pPr>
        <w:tabs>
          <w:tab w:val="num" w:pos="6917"/>
        </w:tabs>
        <w:ind w:left="691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6"/>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8"/>
    <w:rsid w:val="00021E64"/>
    <w:rsid w:val="00042012"/>
    <w:rsid w:val="00051E28"/>
    <w:rsid w:val="000D649E"/>
    <w:rsid w:val="000D64C3"/>
    <w:rsid w:val="00140694"/>
    <w:rsid w:val="00171AB4"/>
    <w:rsid w:val="00181766"/>
    <w:rsid w:val="00193116"/>
    <w:rsid w:val="00210C1D"/>
    <w:rsid w:val="002240B1"/>
    <w:rsid w:val="00244887"/>
    <w:rsid w:val="00260354"/>
    <w:rsid w:val="002634DD"/>
    <w:rsid w:val="00275FAE"/>
    <w:rsid w:val="0029628F"/>
    <w:rsid w:val="002D5A94"/>
    <w:rsid w:val="002F7DA7"/>
    <w:rsid w:val="003005C8"/>
    <w:rsid w:val="00310E54"/>
    <w:rsid w:val="00391CB7"/>
    <w:rsid w:val="004354A9"/>
    <w:rsid w:val="00466C6D"/>
    <w:rsid w:val="0047092F"/>
    <w:rsid w:val="005260D5"/>
    <w:rsid w:val="005B0828"/>
    <w:rsid w:val="00600611"/>
    <w:rsid w:val="00613569"/>
    <w:rsid w:val="006B0ECA"/>
    <w:rsid w:val="006B2035"/>
    <w:rsid w:val="006F2D58"/>
    <w:rsid w:val="00712A2B"/>
    <w:rsid w:val="00741D14"/>
    <w:rsid w:val="007A0198"/>
    <w:rsid w:val="00822F9C"/>
    <w:rsid w:val="00867692"/>
    <w:rsid w:val="008A23E0"/>
    <w:rsid w:val="008B1CDE"/>
    <w:rsid w:val="008D288B"/>
    <w:rsid w:val="00914C7A"/>
    <w:rsid w:val="0096709E"/>
    <w:rsid w:val="009776E1"/>
    <w:rsid w:val="00A14E00"/>
    <w:rsid w:val="00A2795D"/>
    <w:rsid w:val="00A812EA"/>
    <w:rsid w:val="00AD4741"/>
    <w:rsid w:val="00AF7801"/>
    <w:rsid w:val="00B2355A"/>
    <w:rsid w:val="00B61B7C"/>
    <w:rsid w:val="00B64CDF"/>
    <w:rsid w:val="00B66DC2"/>
    <w:rsid w:val="00B66E9C"/>
    <w:rsid w:val="00B72D63"/>
    <w:rsid w:val="00B74F17"/>
    <w:rsid w:val="00BB6EF9"/>
    <w:rsid w:val="00BB7D19"/>
    <w:rsid w:val="00BE0B6D"/>
    <w:rsid w:val="00BF64D2"/>
    <w:rsid w:val="00C07120"/>
    <w:rsid w:val="00C24521"/>
    <w:rsid w:val="00C76016"/>
    <w:rsid w:val="00C82405"/>
    <w:rsid w:val="00C8554F"/>
    <w:rsid w:val="00CC2762"/>
    <w:rsid w:val="00CD0ACD"/>
    <w:rsid w:val="00CD6913"/>
    <w:rsid w:val="00D65AB2"/>
    <w:rsid w:val="00D908F9"/>
    <w:rsid w:val="00DA0B26"/>
    <w:rsid w:val="00DA146D"/>
    <w:rsid w:val="00DA3C30"/>
    <w:rsid w:val="00DA6ED5"/>
    <w:rsid w:val="00DB5B38"/>
    <w:rsid w:val="00E05689"/>
    <w:rsid w:val="00E0763D"/>
    <w:rsid w:val="00E1147A"/>
    <w:rsid w:val="00E33744"/>
    <w:rsid w:val="00E451B0"/>
    <w:rsid w:val="00E90A82"/>
    <w:rsid w:val="00EF51AA"/>
    <w:rsid w:val="00F26EF8"/>
    <w:rsid w:val="00F44A8D"/>
    <w:rsid w:val="00F66559"/>
    <w:rsid w:val="00F7196F"/>
    <w:rsid w:val="00F73315"/>
    <w:rsid w:val="00F73424"/>
    <w:rsid w:val="00F86625"/>
    <w:rsid w:val="00FB3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06F6B3"/>
  <w15:docId w15:val="{352E2CCB-19BA-4063-AFB3-ADE7C45C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styleId="SubtleEmphasis">
    <w:name w:val="Subtle Emphasis"/>
    <w:basedOn w:val="DefaultParagraphFont"/>
    <w:uiPriority w:val="19"/>
    <w:qFormat/>
    <w:rsid w:val="0047092F"/>
    <w:rPr>
      <w:i/>
      <w:iCs/>
      <w:color w:val="808080" w:themeColor="text1" w:themeTint="7F"/>
    </w:rPr>
  </w:style>
  <w:style w:type="character" w:styleId="CommentReference">
    <w:name w:val="annotation reference"/>
    <w:basedOn w:val="DefaultParagraphFont"/>
    <w:uiPriority w:val="99"/>
    <w:semiHidden/>
    <w:unhideWhenUsed/>
    <w:rsid w:val="00051E28"/>
    <w:rPr>
      <w:sz w:val="16"/>
      <w:szCs w:val="16"/>
    </w:rPr>
  </w:style>
  <w:style w:type="paragraph" w:styleId="CommentText">
    <w:name w:val="annotation text"/>
    <w:basedOn w:val="Normal"/>
    <w:link w:val="CommentTextChar"/>
    <w:uiPriority w:val="99"/>
    <w:semiHidden/>
    <w:unhideWhenUsed/>
    <w:rsid w:val="00051E28"/>
    <w:rPr>
      <w:sz w:val="20"/>
      <w:szCs w:val="20"/>
    </w:rPr>
  </w:style>
  <w:style w:type="character" w:customStyle="1" w:styleId="CommentTextChar">
    <w:name w:val="Comment Text Char"/>
    <w:basedOn w:val="DefaultParagraphFont"/>
    <w:link w:val="CommentText"/>
    <w:uiPriority w:val="99"/>
    <w:semiHidden/>
    <w:rsid w:val="00051E28"/>
    <w:rPr>
      <w:rFonts w:cs="Calibri"/>
      <w:sz w:val="20"/>
      <w:szCs w:val="20"/>
    </w:rPr>
  </w:style>
  <w:style w:type="paragraph" w:styleId="CommentSubject">
    <w:name w:val="annotation subject"/>
    <w:basedOn w:val="CommentText"/>
    <w:next w:val="CommentText"/>
    <w:link w:val="CommentSubjectChar"/>
    <w:uiPriority w:val="99"/>
    <w:semiHidden/>
    <w:unhideWhenUsed/>
    <w:rsid w:val="00051E28"/>
    <w:rPr>
      <w:b/>
      <w:bCs/>
    </w:rPr>
  </w:style>
  <w:style w:type="character" w:customStyle="1" w:styleId="CommentSubjectChar">
    <w:name w:val="Comment Subject Char"/>
    <w:basedOn w:val="CommentTextChar"/>
    <w:link w:val="CommentSubject"/>
    <w:uiPriority w:val="99"/>
    <w:semiHidden/>
    <w:rsid w:val="00051E28"/>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DBD8E-1A88-4D18-AAFA-8E2BF46B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7113</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2017-05-08T23:51:00Z</cp:lastPrinted>
  <dcterms:created xsi:type="dcterms:W3CDTF">2021-03-29T03:47:00Z</dcterms:created>
  <dcterms:modified xsi:type="dcterms:W3CDTF">2021-03-31T00:32:00Z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