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ECA" w:rsidRDefault="00B43B65" w:rsidP="00DA0B26">
      <w:pPr>
        <w:pStyle w:val="BodyText"/>
        <w:overflowPunct w:val="0"/>
        <w:ind w:right="-142"/>
        <w:jc w:val="both"/>
      </w:pPr>
      <w:r>
        <w:rPr>
          <w:noProof/>
        </w:rPr>
        <w:pict>
          <v:shapetype id="_x0000_t202" coordsize="21600,21600" o:spt="202" path="m,l,21600r21600,l21600,xe">
            <v:stroke joinstyle="miter"/>
            <v:path gradientshapeok="t" o:connecttype="rect"/>
          </v:shapetype>
          <v:shape id="Text Box 3" o:spid="_x0000_s1026" type="#_x0000_t202" style="position:absolute;left:0;text-align:left;margin-left:245.2pt;margin-top:66.1pt;width:212.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AX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" filled="f" stroked="f">
            <v:textbox>
              <w:txbxContent>
                <w:p w:rsidR="003F7D8D" w:rsidRPr="006B0ECA" w:rsidRDefault="003F7D8D">
                  <w:pPr>
                    <w:rPr>
                      <w:b/>
                      <w:color w:val="FFFFFF" w:themeColor="background1"/>
                      <w:sz w:val="40"/>
                      <w:szCs w:val="40"/>
                    </w:rPr>
                  </w:pPr>
                  <w:r w:rsidRPr="006B0ECA">
                    <w:rPr>
                      <w:b/>
                      <w:color w:val="FFFFFF" w:themeColor="background1"/>
                      <w:sz w:val="40"/>
                      <w:szCs w:val="40"/>
                    </w:rPr>
                    <w:t>ACT REVENUE OFFICE</w:t>
                  </w:r>
                </w:p>
              </w:txbxContent>
            </v:textbox>
          </v:shape>
        </w:pict>
      </w:r>
      <w:r>
        <w:rPr>
          <w:noProof/>
        </w:rPr>
        <w:pict>
          <v:rect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" filled="f" stroked="f">
            <v:textbox>
              <w:txbxContent>
                <w:p w:rsidR="003F7D8D" w:rsidRPr="00D908F9" w:rsidRDefault="003F7D8D" w:rsidP="00391CB7">
                  <w:pPr>
                    <w:pStyle w:val="Header"/>
                    <w:tabs>
                      <w:tab w:val="clear" w:pos="4513"/>
                    </w:tabs>
                    <w:jc w:val="both"/>
                    <w:rPr>
                      <w:color w:val="FFFFFF"/>
                      <w:sz w:val="56"/>
                      <w:szCs w:val="56"/>
                    </w:rPr>
                  </w:pPr>
                  <w:r>
                    <w:rPr>
                      <w:color w:val="FFFFFF"/>
                      <w:sz w:val="56"/>
                      <w:szCs w:val="56"/>
                    </w:rPr>
                    <w:t>ACT Revenue Office</w:t>
                  </w:r>
                </w:p>
              </w:txbxContent>
            </v:textbox>
          </v:rect>
        </w:pict>
      </w:r>
      <w:r w:rsidR="00391CB7">
        <w:rPr>
          <w:noProof/>
        </w:rPr>
        <w:drawing>
          <wp:inline distT="0" distB="0" distL="0" distR="0">
            <wp:extent cx="9448201" cy="2184071"/>
            <wp:effectExtent l="19050" t="0" r="599"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tretch>
                      <a:fillRect/>
                    </a:stretch>
                  </pic:blipFill>
                  <pic:spPr bwMode="auto">
                    <a:xfrm>
                      <a:off x="0" y="0"/>
                      <a:ext cx="9460949" cy="2187018"/>
                    </a:xfrm>
                    <a:prstGeom prst="rect">
                      <a:avLst/>
                    </a:prstGeom>
                    <a:noFill/>
                    <a:ln>
                      <a:noFill/>
                    </a:ln>
                  </pic:spPr>
                </pic:pic>
              </a:graphicData>
            </a:graphic>
          </wp:inline>
        </w:drawing>
      </w:r>
    </w:p>
    <w:p w:rsidR="006B0ECA" w:rsidRPr="00CD6913" w:rsidRDefault="006B0ECA" w:rsidP="00AD4741">
      <w:pPr>
        <w:ind w:left="1134"/>
        <w:jc w:val="both"/>
        <w:rPr>
          <w:rFonts w:asciiTheme="minorHAnsi" w:hAnsiTheme="minorHAnsi"/>
        </w:rPr>
      </w:pPr>
    </w:p>
    <w:tbl>
      <w:tblPr>
        <w:tblW w:w="4394"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tblPr>
      <w:tblGrid>
        <w:gridCol w:w="9533"/>
      </w:tblGrid>
      <w:tr w:rsidR="00F44A8D" w:rsidRPr="00404085" w:rsidTr="00BF1D92">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D9D9D9"/>
          </w:tcPr>
          <w:p w:rsidR="00F44A8D" w:rsidRPr="00705A5A" w:rsidRDefault="00F44A8D" w:rsidP="00AD4741">
            <w:pPr>
              <w:jc w:val="both"/>
              <w:rPr>
                <w:b/>
                <w:lang w:eastAsia="en-US"/>
              </w:rPr>
            </w:pPr>
            <w:r>
              <w:rPr>
                <w:b/>
                <w:lang w:eastAsia="en-US"/>
              </w:rPr>
              <w:t>REVENUE CIRCULAR PTA0</w:t>
            </w:r>
            <w:r w:rsidR="00BF1D92">
              <w:rPr>
                <w:b/>
                <w:lang w:eastAsia="en-US"/>
              </w:rPr>
              <w:t>0</w:t>
            </w:r>
            <w:r w:rsidR="003F7D8D">
              <w:rPr>
                <w:b/>
                <w:lang w:eastAsia="en-US"/>
              </w:rPr>
              <w:t>8</w:t>
            </w:r>
          </w:p>
        </w:tc>
      </w:tr>
      <w:tr w:rsidR="00F44A8D" w:rsidRPr="00404085" w:rsidTr="00BF1D92">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3F7D8D" w:rsidP="00AD4741">
            <w:pPr>
              <w:jc w:val="both"/>
              <w:rPr>
                <w:lang w:eastAsia="en-US"/>
              </w:rPr>
            </w:pPr>
            <w:r>
              <w:rPr>
                <w:lang w:eastAsia="en-US"/>
              </w:rPr>
              <w:t>GST Considerations for Calculations of Payroll Tax Liability</w:t>
            </w:r>
            <w:r w:rsidR="00F44A8D">
              <w:rPr>
                <w:lang w:eastAsia="en-US"/>
              </w:rPr>
              <w:t xml:space="preserve"> – </w:t>
            </w:r>
            <w:r w:rsidR="00F44A8D" w:rsidRPr="00F44A8D">
              <w:rPr>
                <w:i/>
                <w:lang w:eastAsia="en-US"/>
              </w:rPr>
              <w:t>Payroll Tax Act 2011</w:t>
            </w:r>
          </w:p>
        </w:tc>
      </w:tr>
      <w:tr w:rsidR="00F44A8D" w:rsidRPr="00404085" w:rsidTr="00BF1D92">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3F7D8D">
            <w:pPr>
              <w:jc w:val="both"/>
              <w:rPr>
                <w:lang w:eastAsia="en-US"/>
              </w:rPr>
            </w:pPr>
            <w:r>
              <w:rPr>
                <w:lang w:eastAsia="en-US"/>
              </w:rPr>
              <w:t xml:space="preserve">Issue Date: </w:t>
            </w:r>
            <w:r w:rsidR="003F7D8D">
              <w:rPr>
                <w:lang w:eastAsia="en-US"/>
              </w:rPr>
              <w:t>30 June 2011</w:t>
            </w:r>
          </w:p>
        </w:tc>
      </w:tr>
      <w:tr w:rsidR="00F44A8D" w:rsidRPr="00404085" w:rsidTr="00BF1D92">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4B67C7">
            <w:pPr>
              <w:jc w:val="both"/>
            </w:pPr>
            <w:r>
              <w:t>Status: Current</w:t>
            </w:r>
            <w:r w:rsidR="00BF1D92">
              <w:t xml:space="preserve"> – </w:t>
            </w:r>
            <w:r w:rsidR="004B67C7">
              <w:t>E</w:t>
            </w:r>
            <w:r w:rsidR="00BF1D92">
              <w:t xml:space="preserve">ffective </w:t>
            </w:r>
            <w:r w:rsidR="003F7D8D">
              <w:t>1 July 2011</w:t>
            </w:r>
          </w:p>
        </w:tc>
      </w:tr>
      <w:tr w:rsidR="00310E54" w:rsidRPr="00404085" w:rsidTr="00BF1D92">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auto"/>
          </w:tcPr>
          <w:p w:rsidR="00310E54" w:rsidRDefault="00310E54" w:rsidP="003F7D8D">
            <w:pPr>
              <w:jc w:val="both"/>
            </w:pPr>
            <w:r>
              <w:t>Previous Circular: PT</w:t>
            </w:r>
            <w:r w:rsidR="003F7D8D">
              <w:t>X</w:t>
            </w:r>
            <w:r w:rsidR="007A65CD">
              <w:t>00</w:t>
            </w:r>
            <w:r w:rsidR="003F7D8D">
              <w:t>8</w:t>
            </w:r>
          </w:p>
        </w:tc>
      </w:tr>
    </w:tbl>
    <w:p w:rsidR="00F44A8D" w:rsidRDefault="004B67C7" w:rsidP="00BF1D92">
      <w:pPr>
        <w:pStyle w:val="Heading1"/>
        <w:spacing w:before="120" w:after="120" w:line="240" w:lineRule="auto"/>
        <w:ind w:left="1701" w:hanging="567"/>
        <w:jc w:val="both"/>
      </w:pPr>
      <w:r>
        <w:t>Preamble</w:t>
      </w:r>
    </w:p>
    <w:p w:rsidR="003F7D8D" w:rsidRDefault="003F7D8D" w:rsidP="00821D8A">
      <w:pPr>
        <w:adjustRightInd w:val="0"/>
        <w:spacing w:before="120" w:after="120"/>
        <w:ind w:left="1134"/>
        <w:jc w:val="both"/>
        <w:rPr>
          <w:rFonts w:cs="Arial"/>
        </w:rPr>
      </w:pPr>
      <w:r w:rsidRPr="0066664F">
        <w:rPr>
          <w:rFonts w:cs="Arial"/>
        </w:rPr>
        <w:t xml:space="preserve">The </w:t>
      </w:r>
      <w:r w:rsidRPr="0066664F">
        <w:rPr>
          <w:rFonts w:cs="Arial"/>
          <w:i/>
        </w:rPr>
        <w:t>Payroll Tax Act 2011</w:t>
      </w:r>
      <w:r w:rsidRPr="0066664F">
        <w:rPr>
          <w:rFonts w:cs="Arial"/>
        </w:rPr>
        <w:t xml:space="preserve"> (the Act), which </w:t>
      </w:r>
      <w:r w:rsidRPr="00844E24">
        <w:rPr>
          <w:rFonts w:cs="Arial"/>
        </w:rPr>
        <w:t>commenced on 1 July 2011</w:t>
      </w:r>
      <w:r w:rsidRPr="0066664F">
        <w:rPr>
          <w:rFonts w:cs="Arial"/>
        </w:rPr>
        <w:t xml:space="preserve">, rewrites the </w:t>
      </w:r>
      <w:r w:rsidRPr="000715D3">
        <w:rPr>
          <w:rFonts w:cs="Arial"/>
          <w:i/>
        </w:rPr>
        <w:t>Payroll Tax Act 1987</w:t>
      </w:r>
      <w:r w:rsidRPr="0066664F">
        <w:rPr>
          <w:rFonts w:cs="Arial"/>
        </w:rPr>
        <w:t xml:space="preserve"> (the 1987 Act) and harmonises the payroll tax legislation </w:t>
      </w:r>
      <w:r>
        <w:rPr>
          <w:rFonts w:cs="Arial"/>
        </w:rPr>
        <w:t>in the Australian jurisdictions.</w:t>
      </w:r>
      <w:r w:rsidRPr="0066664F">
        <w:rPr>
          <w:rFonts w:cs="Arial"/>
        </w:rPr>
        <w:t xml:space="preserve">  </w:t>
      </w:r>
    </w:p>
    <w:p w:rsidR="003F7D8D" w:rsidRPr="00A625E4" w:rsidRDefault="003F7D8D" w:rsidP="00821D8A">
      <w:pPr>
        <w:adjustRightInd w:val="0"/>
        <w:spacing w:before="120" w:after="120"/>
        <w:ind w:left="1701" w:hanging="425"/>
        <w:jc w:val="both"/>
        <w:rPr>
          <w:rFonts w:cs="Arial"/>
        </w:rPr>
      </w:pPr>
      <w:r w:rsidRPr="00A625E4">
        <w:rPr>
          <w:rFonts w:cs="Arial"/>
        </w:rPr>
        <w:t>1.</w:t>
      </w:r>
      <w:r w:rsidRPr="00A625E4">
        <w:rPr>
          <w:rFonts w:cs="Arial"/>
        </w:rPr>
        <w:tab/>
        <w:t>From 1 July 2000, the supply of most goods and services became subject to the Commonwealth’s Goods and Services Tax (the GST).  The GST has relevance to payroll tax because certain supplies which are subject to the GST are also subject to payroll tax.  These include the supply of labour services by contractors and agency-supplied staff.</w:t>
      </w:r>
    </w:p>
    <w:p w:rsidR="003F7D8D" w:rsidRPr="00A625E4" w:rsidRDefault="003F7D8D" w:rsidP="00821D8A">
      <w:pPr>
        <w:adjustRightInd w:val="0"/>
        <w:spacing w:before="120" w:after="120"/>
        <w:ind w:left="1701" w:hanging="425"/>
        <w:jc w:val="both"/>
        <w:rPr>
          <w:rFonts w:cs="Arial"/>
        </w:rPr>
      </w:pPr>
      <w:r w:rsidRPr="00A625E4">
        <w:rPr>
          <w:rFonts w:cs="Arial"/>
        </w:rPr>
        <w:t>2.</w:t>
      </w:r>
      <w:r w:rsidRPr="00A625E4">
        <w:rPr>
          <w:rFonts w:cs="Arial"/>
        </w:rPr>
        <w:tab/>
        <w:t>Section 44 of the Act provides that GST will be excluded from wages (other than wages that comprise fringe benefits) in circumstances where a payment for a supply of services is taken to be wages under the Act and that payment includes an amount of GST.</w:t>
      </w:r>
    </w:p>
    <w:p w:rsidR="003F7D8D" w:rsidRPr="00A625E4" w:rsidRDefault="003F7D8D" w:rsidP="00821D8A">
      <w:pPr>
        <w:adjustRightInd w:val="0"/>
        <w:spacing w:before="120" w:after="120"/>
        <w:ind w:left="1701" w:hanging="425"/>
        <w:jc w:val="both"/>
        <w:rPr>
          <w:rFonts w:cs="Arial"/>
        </w:rPr>
      </w:pPr>
      <w:r w:rsidRPr="00A625E4">
        <w:rPr>
          <w:rFonts w:cs="Arial"/>
        </w:rPr>
        <w:t>3.</w:t>
      </w:r>
      <w:r w:rsidRPr="00A625E4">
        <w:rPr>
          <w:rFonts w:cs="Arial"/>
        </w:rPr>
        <w:tab/>
        <w:t>This circular explains how the GST impacts on the calculation of an employer’s liability for payroll tax.</w:t>
      </w:r>
    </w:p>
    <w:p w:rsidR="004B67C7" w:rsidRPr="004B67C7" w:rsidRDefault="00F44A8D" w:rsidP="00821D8A">
      <w:pPr>
        <w:pStyle w:val="Heading1"/>
        <w:ind w:left="1134" w:firstLine="0"/>
        <w:jc w:val="both"/>
        <w:rPr>
          <w:rFonts w:cs="Arial"/>
          <w:b w:val="0"/>
          <w:sz w:val="26"/>
          <w:szCs w:val="26"/>
        </w:rPr>
      </w:pPr>
      <w:r w:rsidRPr="00AD4741">
        <w:rPr>
          <w:rFonts w:asciiTheme="minorHAnsi" w:hAnsiTheme="minorHAnsi"/>
        </w:rPr>
        <w:t>Circular</w:t>
      </w:r>
      <w:r w:rsidR="004B67C7">
        <w:rPr>
          <w:rFonts w:asciiTheme="minorHAnsi" w:hAnsiTheme="minorHAnsi"/>
        </w:rPr>
        <w:t xml:space="preserve">: </w:t>
      </w:r>
      <w:r w:rsidR="004B67C7" w:rsidRPr="004B67C7">
        <w:rPr>
          <w:rFonts w:cs="Arial"/>
          <w:sz w:val="26"/>
          <w:szCs w:val="26"/>
        </w:rPr>
        <w:t>GST Considerations for the Calculation of Payroll Tax Liability</w:t>
      </w:r>
    </w:p>
    <w:p w:rsidR="003F7D8D" w:rsidRPr="004B67C7" w:rsidRDefault="003F7D8D" w:rsidP="00821D8A">
      <w:pPr>
        <w:adjustRightInd w:val="0"/>
        <w:spacing w:before="60" w:after="60"/>
        <w:ind w:left="1134"/>
        <w:jc w:val="both"/>
        <w:outlineLvl w:val="1"/>
        <w:rPr>
          <w:rFonts w:cs="Arial"/>
          <w:b/>
          <w:iCs/>
        </w:rPr>
      </w:pPr>
      <w:r w:rsidRPr="004B67C7">
        <w:rPr>
          <w:rFonts w:cs="Arial"/>
          <w:b/>
          <w:iCs/>
        </w:rPr>
        <w:t>Payments to, or in Relation to, Employees</w:t>
      </w:r>
    </w:p>
    <w:p w:rsidR="003F7D8D" w:rsidRPr="00A625E4" w:rsidRDefault="003F7D8D" w:rsidP="00821D8A">
      <w:pPr>
        <w:adjustRightInd w:val="0"/>
        <w:spacing w:before="120" w:after="120"/>
        <w:ind w:left="1701" w:hanging="425"/>
        <w:jc w:val="both"/>
        <w:rPr>
          <w:rFonts w:cs="Arial"/>
        </w:rPr>
      </w:pPr>
      <w:r w:rsidRPr="00A625E4">
        <w:rPr>
          <w:rFonts w:cs="Arial"/>
        </w:rPr>
        <w:t>4.</w:t>
      </w:r>
      <w:r w:rsidRPr="00A625E4">
        <w:rPr>
          <w:rFonts w:cs="Arial"/>
        </w:rPr>
        <w:tab/>
        <w:t>Employees’ wages and salaries are not subject to GST.  Consequently, there is no impact for payroll tax purposes.</w:t>
      </w:r>
    </w:p>
    <w:p w:rsidR="003F7D8D" w:rsidRPr="004B67C7" w:rsidRDefault="003F7D8D" w:rsidP="00821D8A">
      <w:pPr>
        <w:adjustRightInd w:val="0"/>
        <w:spacing w:before="60" w:after="60"/>
        <w:ind w:left="1134"/>
        <w:jc w:val="both"/>
        <w:outlineLvl w:val="1"/>
        <w:rPr>
          <w:rFonts w:cs="Arial"/>
          <w:b/>
          <w:iCs/>
        </w:rPr>
      </w:pPr>
      <w:r w:rsidRPr="004B67C7">
        <w:rPr>
          <w:rFonts w:cs="Arial"/>
          <w:b/>
          <w:iCs/>
        </w:rPr>
        <w:t>Payments to, or in Relation to, Contractors</w:t>
      </w:r>
    </w:p>
    <w:p w:rsidR="003F7D8D" w:rsidRDefault="003F7D8D" w:rsidP="00821D8A">
      <w:pPr>
        <w:ind w:left="1701" w:hanging="425"/>
        <w:jc w:val="both"/>
      </w:pPr>
      <w:r w:rsidRPr="00A625E4">
        <w:rPr>
          <w:rFonts w:cs="Arial"/>
        </w:rPr>
        <w:t>5.</w:t>
      </w:r>
      <w:r w:rsidRPr="00A625E4">
        <w:rPr>
          <w:rFonts w:cs="Arial"/>
        </w:rPr>
        <w:tab/>
        <w:t>An employer can exclude the GST component from those payments to contractors which are taken to be taxable wages under the Act</w:t>
      </w:r>
      <w:r>
        <w:rPr>
          <w:rFonts w:cs="Arial"/>
        </w:rPr>
        <w:t>.</w:t>
      </w:r>
    </w:p>
    <w:p w:rsidR="003F7D8D" w:rsidRPr="003F7D8D" w:rsidRDefault="003F7D8D" w:rsidP="00821D8A">
      <w:pPr>
        <w:adjustRightInd w:val="0"/>
        <w:spacing w:before="120" w:after="120"/>
        <w:ind w:left="1134"/>
        <w:jc w:val="both"/>
        <w:rPr>
          <w:rFonts w:cs="Arial"/>
          <w:iCs/>
          <w:u w:val="single"/>
        </w:rPr>
      </w:pPr>
      <w:r w:rsidRPr="003F7D8D">
        <w:rPr>
          <w:rFonts w:cs="Arial"/>
          <w:iCs/>
          <w:u w:val="single"/>
        </w:rPr>
        <w:t>Example</w:t>
      </w:r>
    </w:p>
    <w:p w:rsidR="003F7D8D" w:rsidRPr="00A625E4" w:rsidRDefault="003F7D8D" w:rsidP="00821D8A">
      <w:pPr>
        <w:adjustRightInd w:val="0"/>
        <w:spacing w:before="120" w:after="120"/>
        <w:ind w:left="1701"/>
        <w:jc w:val="both"/>
        <w:rPr>
          <w:rFonts w:cs="Arial"/>
          <w:iCs/>
        </w:rPr>
      </w:pPr>
      <w:r w:rsidRPr="00A625E4">
        <w:rPr>
          <w:rFonts w:cs="Arial"/>
          <w:iCs/>
        </w:rPr>
        <w:t>Employer A engages Contractor B for 12 months.  Contract</w:t>
      </w:r>
      <w:r>
        <w:rPr>
          <w:rFonts w:cs="Arial"/>
          <w:iCs/>
        </w:rPr>
        <w:t>or B invoices Employer A for $6,</w:t>
      </w:r>
      <w:r w:rsidRPr="00A625E4">
        <w:rPr>
          <w:rFonts w:cs="Arial"/>
          <w:iCs/>
        </w:rPr>
        <w:t>000 a month plus $600 GST.</w:t>
      </w:r>
    </w:p>
    <w:p w:rsidR="003F7D8D" w:rsidRPr="00A625E4" w:rsidRDefault="003F7D8D" w:rsidP="00821D8A">
      <w:pPr>
        <w:adjustRightInd w:val="0"/>
        <w:spacing w:before="120" w:after="120"/>
        <w:ind w:left="1701"/>
        <w:jc w:val="both"/>
        <w:rPr>
          <w:rFonts w:cs="Arial"/>
        </w:rPr>
      </w:pPr>
      <w:r w:rsidRPr="00A625E4">
        <w:rPr>
          <w:rFonts w:cs="Arial"/>
          <w:iCs/>
        </w:rPr>
        <w:t>Assuming that the payments are not otherwise exempt under the Act, the taxabl</w:t>
      </w:r>
      <w:r>
        <w:rPr>
          <w:rFonts w:cs="Arial"/>
          <w:iCs/>
        </w:rPr>
        <w:t>e wages are taken to be $6,</w:t>
      </w:r>
      <w:r w:rsidRPr="00A625E4">
        <w:rPr>
          <w:rFonts w:cs="Arial"/>
          <w:iCs/>
        </w:rPr>
        <w:t>000 per month</w:t>
      </w:r>
    </w:p>
    <w:p w:rsidR="003F7D8D" w:rsidRDefault="003F7D8D" w:rsidP="00821D8A">
      <w:pPr>
        <w:widowControl/>
        <w:suppressAutoHyphens w:val="0"/>
        <w:autoSpaceDE/>
        <w:autoSpaceDN/>
        <w:spacing w:before="60" w:after="60"/>
        <w:ind w:left="1134"/>
        <w:jc w:val="both"/>
        <w:textAlignment w:val="auto"/>
      </w:pPr>
    </w:p>
    <w:p w:rsidR="00F44A8D" w:rsidRDefault="00F44A8D" w:rsidP="00821D8A">
      <w:pPr>
        <w:pStyle w:val="Heading2"/>
        <w:ind w:left="1701"/>
        <w:jc w:val="both"/>
        <w:sectPr w:rsidR="00F44A8D" w:rsidSect="007A65CD">
          <w:headerReference w:type="default" r:id="rId9"/>
          <w:footerReference w:type="default" r:id="rId10"/>
          <w:footerReference w:type="first" r:id="rId11"/>
          <w:pgSz w:w="11910" w:h="16840" w:code="9"/>
          <w:pgMar w:top="-9" w:right="1278" w:bottom="1100" w:left="0" w:header="0" w:footer="318" w:gutter="0"/>
          <w:cols w:space="720"/>
          <w:titlePg/>
          <w:docGrid w:linePitch="326"/>
        </w:sectPr>
      </w:pPr>
    </w:p>
    <w:p w:rsidR="003F7D8D" w:rsidRPr="00A625E4" w:rsidRDefault="003F7D8D" w:rsidP="00821D8A">
      <w:pPr>
        <w:adjustRightInd w:val="0"/>
        <w:ind w:left="851"/>
        <w:jc w:val="both"/>
        <w:outlineLvl w:val="1"/>
        <w:rPr>
          <w:rFonts w:cs="Arial"/>
          <w:b/>
          <w:iCs/>
          <w:sz w:val="26"/>
          <w:szCs w:val="26"/>
        </w:rPr>
      </w:pPr>
      <w:r w:rsidRPr="00A625E4">
        <w:rPr>
          <w:rFonts w:cs="Arial"/>
          <w:b/>
          <w:iCs/>
          <w:sz w:val="26"/>
          <w:szCs w:val="26"/>
        </w:rPr>
        <w:lastRenderedPageBreak/>
        <w:t>Payments in Relation to Employment Agency Contracts</w:t>
      </w:r>
    </w:p>
    <w:p w:rsidR="003F7D8D" w:rsidRPr="00A625E4" w:rsidRDefault="003F7D8D" w:rsidP="00821D8A">
      <w:pPr>
        <w:adjustRightInd w:val="0"/>
        <w:spacing w:before="60" w:after="120"/>
        <w:ind w:left="1417" w:hanging="425"/>
        <w:jc w:val="both"/>
        <w:rPr>
          <w:rFonts w:cs="Arial"/>
        </w:rPr>
      </w:pPr>
      <w:r w:rsidRPr="00A625E4">
        <w:rPr>
          <w:rFonts w:cs="Arial"/>
        </w:rPr>
        <w:t>6.</w:t>
      </w:r>
      <w:r w:rsidRPr="00A625E4">
        <w:rPr>
          <w:rFonts w:cs="Arial"/>
        </w:rPr>
        <w:tab/>
        <w:t>An employment agent can exclude the GST component from payments to service providers (on-hired workers) that are taken to be wages under the Act.</w:t>
      </w:r>
    </w:p>
    <w:p w:rsidR="003F7D8D" w:rsidRPr="003F7D8D" w:rsidRDefault="003F7D8D" w:rsidP="00821D8A">
      <w:pPr>
        <w:adjustRightInd w:val="0"/>
        <w:spacing w:before="120" w:after="120"/>
        <w:ind w:left="851"/>
        <w:jc w:val="both"/>
        <w:rPr>
          <w:rFonts w:cs="Arial"/>
          <w:iCs/>
          <w:u w:val="single"/>
        </w:rPr>
      </w:pPr>
      <w:r w:rsidRPr="003F7D8D">
        <w:rPr>
          <w:rFonts w:cs="Arial"/>
          <w:iCs/>
          <w:u w:val="single"/>
        </w:rPr>
        <w:t>Example</w:t>
      </w:r>
    </w:p>
    <w:p w:rsidR="003F7D8D" w:rsidRPr="00A625E4" w:rsidRDefault="003F7D8D" w:rsidP="00821D8A">
      <w:pPr>
        <w:adjustRightInd w:val="0"/>
        <w:spacing w:before="120" w:after="120"/>
        <w:ind w:left="1418"/>
        <w:jc w:val="both"/>
        <w:rPr>
          <w:rFonts w:cs="Arial"/>
          <w:iCs/>
        </w:rPr>
      </w:pPr>
      <w:r w:rsidRPr="00A625E4">
        <w:rPr>
          <w:rFonts w:cs="Arial"/>
          <w:iCs/>
        </w:rPr>
        <w:t>An employment agency supplies a person to its client under an employment agency contract for one</w:t>
      </w:r>
      <w:r>
        <w:rPr>
          <w:rFonts w:cs="Arial"/>
          <w:iCs/>
        </w:rPr>
        <w:t xml:space="preserve"> month.  It paid that person $2,</w:t>
      </w:r>
      <w:r w:rsidRPr="00A625E4">
        <w:rPr>
          <w:rFonts w:cs="Arial"/>
          <w:iCs/>
        </w:rPr>
        <w:t>000 plus $200 GST.</w:t>
      </w:r>
    </w:p>
    <w:p w:rsidR="003F7D8D" w:rsidRPr="00A625E4" w:rsidRDefault="003F7D8D" w:rsidP="00821D8A">
      <w:pPr>
        <w:adjustRightInd w:val="0"/>
        <w:spacing w:before="60" w:after="60"/>
        <w:ind w:left="1418"/>
        <w:jc w:val="both"/>
        <w:rPr>
          <w:rFonts w:cs="Arial"/>
          <w:iCs/>
        </w:rPr>
      </w:pPr>
      <w:r w:rsidRPr="00A625E4">
        <w:rPr>
          <w:rFonts w:cs="Arial"/>
          <w:iCs/>
        </w:rPr>
        <w:t>Assuming that the payments are not otherwise exempt, the taxable wages f</w:t>
      </w:r>
      <w:r>
        <w:rPr>
          <w:rFonts w:cs="Arial"/>
          <w:iCs/>
        </w:rPr>
        <w:t>or the month are taken to be $2,</w:t>
      </w:r>
      <w:r w:rsidRPr="00A625E4">
        <w:rPr>
          <w:rFonts w:cs="Arial"/>
          <w:iCs/>
        </w:rPr>
        <w:t>000.</w:t>
      </w:r>
    </w:p>
    <w:p w:rsidR="003F7D8D" w:rsidRPr="004D0AB2" w:rsidRDefault="003F7D8D" w:rsidP="00821D8A">
      <w:pPr>
        <w:adjustRightInd w:val="0"/>
        <w:spacing w:after="60"/>
        <w:ind w:left="851"/>
        <w:jc w:val="both"/>
        <w:outlineLvl w:val="1"/>
        <w:rPr>
          <w:rFonts w:cs="Arial"/>
          <w:b/>
          <w:iCs/>
          <w:sz w:val="26"/>
          <w:szCs w:val="26"/>
        </w:rPr>
      </w:pPr>
      <w:r w:rsidRPr="004D0AB2">
        <w:rPr>
          <w:rFonts w:cs="Arial"/>
          <w:b/>
          <w:iCs/>
          <w:sz w:val="26"/>
          <w:szCs w:val="26"/>
        </w:rPr>
        <w:t>Fringe Benefits</w:t>
      </w:r>
    </w:p>
    <w:p w:rsidR="003F7D8D" w:rsidRPr="00A625E4" w:rsidRDefault="003F7D8D" w:rsidP="00821D8A">
      <w:pPr>
        <w:adjustRightInd w:val="0"/>
        <w:spacing w:before="120" w:after="120"/>
        <w:ind w:left="1418" w:hanging="425"/>
        <w:jc w:val="both"/>
        <w:rPr>
          <w:rFonts w:cs="Arial"/>
        </w:rPr>
      </w:pPr>
      <w:r w:rsidRPr="00A625E4">
        <w:rPr>
          <w:rFonts w:cs="Arial"/>
        </w:rPr>
        <w:t>7.</w:t>
      </w:r>
      <w:r w:rsidRPr="00A625E4">
        <w:rPr>
          <w:rFonts w:cs="Arial"/>
        </w:rPr>
        <w:tab/>
        <w:t>With effect from 1 July 20</w:t>
      </w:r>
      <w:r>
        <w:rPr>
          <w:rFonts w:cs="Arial"/>
        </w:rPr>
        <w:t>11</w:t>
      </w:r>
      <w:r w:rsidRPr="00A625E4">
        <w:rPr>
          <w:rFonts w:cs="Arial"/>
        </w:rPr>
        <w:t xml:space="preserve">, the value of a fringe benefit for payroll tax purposes is the value determined by grossing-up the aggregate fringe benefits amount using the formula for Type 2 benefits specified under the </w:t>
      </w:r>
      <w:r w:rsidRPr="00A625E4">
        <w:rPr>
          <w:rFonts w:cs="Arial"/>
          <w:i/>
          <w:iCs/>
        </w:rPr>
        <w:t>Fringe</w:t>
      </w:r>
      <w:r>
        <w:rPr>
          <w:rFonts w:cs="Arial"/>
          <w:i/>
          <w:iCs/>
        </w:rPr>
        <w:t> </w:t>
      </w:r>
      <w:r w:rsidRPr="00A625E4">
        <w:rPr>
          <w:rFonts w:cs="Arial"/>
          <w:i/>
          <w:iCs/>
        </w:rPr>
        <w:t>Benefits</w:t>
      </w:r>
      <w:r>
        <w:rPr>
          <w:rFonts w:cs="Arial"/>
          <w:i/>
          <w:iCs/>
        </w:rPr>
        <w:t> </w:t>
      </w:r>
      <w:r w:rsidRPr="00A625E4">
        <w:rPr>
          <w:rFonts w:cs="Arial"/>
          <w:i/>
          <w:iCs/>
        </w:rPr>
        <w:t xml:space="preserve">Tax Assessment Act 1986 </w:t>
      </w:r>
      <w:r w:rsidRPr="00A625E4">
        <w:rPr>
          <w:rFonts w:cs="Arial"/>
          <w:iCs/>
        </w:rPr>
        <w:t>(</w:t>
      </w:r>
      <w:proofErr w:type="spellStart"/>
      <w:r w:rsidRPr="00A625E4">
        <w:rPr>
          <w:rFonts w:cs="Arial"/>
          <w:iCs/>
        </w:rPr>
        <w:t>C</w:t>
      </w:r>
      <w:r>
        <w:rPr>
          <w:rFonts w:cs="Arial"/>
          <w:iCs/>
        </w:rPr>
        <w:t>w</w:t>
      </w:r>
      <w:r w:rsidRPr="00A625E4">
        <w:rPr>
          <w:rFonts w:cs="Arial"/>
          <w:iCs/>
        </w:rPr>
        <w:t>th</w:t>
      </w:r>
      <w:proofErr w:type="spellEnd"/>
      <w:r w:rsidRPr="00A625E4">
        <w:rPr>
          <w:rFonts w:cs="Arial"/>
          <w:iCs/>
        </w:rPr>
        <w:t xml:space="preserve">) </w:t>
      </w:r>
      <w:r w:rsidRPr="00A625E4">
        <w:rPr>
          <w:rFonts w:cs="Arial"/>
        </w:rPr>
        <w:t>(FBT Act).  The value of a fringe benefit may or may not include GST, depending on the valuation rules applicable under the FBT Act.  Where the value so determined includes GST, the GST amount is also included in the value for payroll tax purposes.</w:t>
      </w:r>
    </w:p>
    <w:p w:rsidR="003F7D8D" w:rsidRPr="00A625E4" w:rsidRDefault="003F7D8D" w:rsidP="00821D8A">
      <w:pPr>
        <w:adjustRightInd w:val="0"/>
        <w:ind w:left="1418" w:hanging="425"/>
        <w:jc w:val="both"/>
        <w:rPr>
          <w:rFonts w:cs="Arial"/>
        </w:rPr>
      </w:pPr>
      <w:r w:rsidRPr="00A625E4">
        <w:rPr>
          <w:rFonts w:cs="Arial"/>
        </w:rPr>
        <w:t>8.</w:t>
      </w:r>
      <w:r w:rsidRPr="00A625E4">
        <w:rPr>
          <w:rFonts w:cs="Arial"/>
        </w:rPr>
        <w:tab/>
        <w:t>Employers should contact the Australian Taxation Office for the current rates for Type 1 and Type 2 factors.</w:t>
      </w:r>
    </w:p>
    <w:p w:rsidR="00943FB7" w:rsidRPr="00E3552D" w:rsidRDefault="00943FB7" w:rsidP="00943FB7">
      <w:pPr>
        <w:ind w:left="2127" w:right="45" w:hanging="1276"/>
        <w:jc w:val="both"/>
        <w:rPr>
          <w:rFonts w:cs="Arial"/>
          <w:szCs w:val="23"/>
        </w:rPr>
      </w:pPr>
    </w:p>
    <w:p w:rsidR="00943FB7" w:rsidRDefault="00943FB7" w:rsidP="00943FB7">
      <w:pPr>
        <w:adjustRightInd w:val="0"/>
        <w:ind w:left="2127" w:right="45" w:hanging="1276"/>
        <w:jc w:val="both"/>
        <w:rPr>
          <w:rFonts w:cs="Arial"/>
          <w:bCs/>
        </w:rPr>
      </w:pPr>
      <w:r>
        <w:rPr>
          <w:rFonts w:cs="Arial"/>
          <w:bCs/>
        </w:rPr>
        <w:t>SIGNED</w:t>
      </w:r>
    </w:p>
    <w:p w:rsidR="00943FB7" w:rsidRPr="00E3552D" w:rsidRDefault="00943FB7" w:rsidP="00943FB7">
      <w:pPr>
        <w:adjustRightInd w:val="0"/>
        <w:ind w:left="2127" w:right="45" w:hanging="1276"/>
        <w:jc w:val="both"/>
        <w:rPr>
          <w:rFonts w:cs="Arial"/>
          <w:bCs/>
        </w:rPr>
      </w:pPr>
    </w:p>
    <w:p w:rsidR="00943FB7" w:rsidRPr="00E3552D" w:rsidRDefault="003F7D8D" w:rsidP="00943FB7">
      <w:pPr>
        <w:adjustRightInd w:val="0"/>
        <w:ind w:left="2127" w:right="45" w:hanging="1276"/>
        <w:jc w:val="both"/>
        <w:rPr>
          <w:rFonts w:cs="Arial"/>
          <w:bCs/>
        </w:rPr>
      </w:pPr>
      <w:r>
        <w:rPr>
          <w:rFonts w:cs="Arial"/>
          <w:bCs/>
        </w:rPr>
        <w:t>David Read</w:t>
      </w:r>
    </w:p>
    <w:p w:rsidR="00943FB7" w:rsidRPr="00E3552D" w:rsidRDefault="00943FB7" w:rsidP="00943FB7">
      <w:pPr>
        <w:adjustRightInd w:val="0"/>
        <w:ind w:left="2127" w:right="45" w:hanging="1276"/>
        <w:jc w:val="both"/>
        <w:rPr>
          <w:rFonts w:cs="Arial"/>
        </w:rPr>
      </w:pPr>
      <w:r w:rsidRPr="00E3552D">
        <w:rPr>
          <w:rFonts w:cs="Arial"/>
        </w:rPr>
        <w:t>Commissioner for ACT Revenue</w:t>
      </w:r>
    </w:p>
    <w:p w:rsidR="00943FB7" w:rsidRPr="00E3552D" w:rsidRDefault="003F7D8D" w:rsidP="00943FB7">
      <w:pPr>
        <w:adjustRightInd w:val="0"/>
        <w:ind w:left="2127" w:right="45" w:hanging="1276"/>
        <w:jc w:val="both"/>
        <w:rPr>
          <w:rFonts w:cs="Arial"/>
          <w:bCs/>
        </w:rPr>
      </w:pPr>
      <w:r>
        <w:rPr>
          <w:rFonts w:cs="Arial"/>
          <w:bCs/>
        </w:rPr>
        <w:t>30 June 2011</w:t>
      </w:r>
    </w:p>
    <w:p w:rsidR="007A65CD" w:rsidRDefault="007A65CD" w:rsidP="00943FB7">
      <w:pPr>
        <w:adjustRightInd w:val="0"/>
        <w:spacing w:before="120" w:after="120"/>
        <w:ind w:left="1418" w:right="45" w:hanging="567"/>
        <w:jc w:val="both"/>
        <w:rPr>
          <w:rFonts w:cs="Arial"/>
        </w:rPr>
      </w:pPr>
    </w:p>
    <w:sectPr w:rsidR="007A65CD" w:rsidSect="00A136AE">
      <w:pgSz w:w="11910" w:h="16840" w:code="9"/>
      <w:pgMar w:top="1100" w:right="1137" w:bottom="1100" w:left="238" w:header="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7D8D" w:rsidRDefault="003F7D8D" w:rsidP="005B0828">
      <w:r>
        <w:separator/>
      </w:r>
    </w:p>
  </w:endnote>
  <w:endnote w:type="continuationSeparator" w:id="0">
    <w:p w:rsidR="003F7D8D" w:rsidRDefault="003F7D8D" w:rsidP="005B08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D8D" w:rsidRDefault="003F7D8D">
    <w:pPr>
      <w:pStyle w:val="BodyText"/>
      <w:overflowPunct w:val="0"/>
      <w:spacing w:line="12" w:lineRule="auto"/>
      <w:rPr>
        <w:rFonts w:ascii="Times New Roman" w:hAnsi="Times New Roman" w:cs="Times New Roman"/>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D8D" w:rsidRPr="00F44A8D" w:rsidRDefault="003F7D8D" w:rsidP="00F44A8D">
    <w:pPr>
      <w:jc w:val="center"/>
    </w:pPr>
    <w:r w:rsidRPr="00BA070A">
      <w:rPr>
        <w:b/>
        <w:sz w:val="18"/>
        <w:szCs w:val="18"/>
        <w:lang w:val="it-IT"/>
      </w:rPr>
      <w:t xml:space="preserve">PO Box 293, Civic Square ACT 2608  |  phone: 6207 0028  |  </w:t>
    </w:r>
    <w:hyperlink r:id="rId1" w:history="1">
      <w:r w:rsidRPr="00BA070A">
        <w:rPr>
          <w:rStyle w:val="Hyperlink"/>
          <w:b/>
          <w:sz w:val="18"/>
          <w:szCs w:val="18"/>
          <w:lang w:val="it-IT"/>
        </w:rPr>
        <w:t>www.revenue.act.gov.au</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7D8D" w:rsidRDefault="003F7D8D" w:rsidP="005B0828">
      <w:r w:rsidRPr="005B0828">
        <w:rPr>
          <w:color w:val="000000"/>
        </w:rPr>
        <w:separator/>
      </w:r>
    </w:p>
  </w:footnote>
  <w:footnote w:type="continuationSeparator" w:id="0">
    <w:p w:rsidR="003F7D8D" w:rsidRDefault="003F7D8D" w:rsidP="005B08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D8D" w:rsidRDefault="003F7D8D" w:rsidP="00822F9C">
    <w:pPr>
      <w:pStyle w:val="Header"/>
      <w:tabs>
        <w:tab w:val="clear" w:pos="4513"/>
        <w:tab w:val="clear" w:pos="9026"/>
      </w:tabs>
      <w:ind w:left="-70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
    <w:nsid w:val="14FC2C71"/>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
    <w:nsid w:val="453845B3"/>
    <w:multiLevelType w:val="hybridMultilevel"/>
    <w:tmpl w:val="668EF11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nsid w:val="798D6C55"/>
    <w:multiLevelType w:val="hybridMultilevel"/>
    <w:tmpl w:val="7D14D7B6"/>
    <w:lvl w:ilvl="0" w:tplc="E1565F5E">
      <w:start w:val="1"/>
      <w:numFmt w:val="lowerLetter"/>
      <w:lvlText w:val="(%1)"/>
      <w:lvlJc w:val="left"/>
      <w:pPr>
        <w:tabs>
          <w:tab w:val="num" w:pos="1004"/>
        </w:tabs>
        <w:ind w:left="1004" w:hanging="720"/>
      </w:pPr>
      <w:rPr>
        <w:rFonts w:cs="Times New Roman" w:hint="default"/>
      </w:rPr>
    </w:lvl>
    <w:lvl w:ilvl="1" w:tplc="0C090003" w:tentative="1">
      <w:start w:val="1"/>
      <w:numFmt w:val="bullet"/>
      <w:lvlText w:val="o"/>
      <w:lvlJc w:val="left"/>
      <w:pPr>
        <w:tabs>
          <w:tab w:val="num" w:pos="1441"/>
        </w:tabs>
        <w:ind w:left="1441" w:hanging="360"/>
      </w:pPr>
      <w:rPr>
        <w:rFonts w:ascii="Courier New" w:hAnsi="Courier New" w:hint="default"/>
      </w:rPr>
    </w:lvl>
    <w:lvl w:ilvl="2" w:tplc="0C090005" w:tentative="1">
      <w:start w:val="1"/>
      <w:numFmt w:val="bullet"/>
      <w:lvlText w:val=""/>
      <w:lvlJc w:val="left"/>
      <w:pPr>
        <w:tabs>
          <w:tab w:val="num" w:pos="2161"/>
        </w:tabs>
        <w:ind w:left="2161" w:hanging="360"/>
      </w:pPr>
      <w:rPr>
        <w:rFonts w:ascii="Wingdings" w:hAnsi="Wingdings" w:hint="default"/>
      </w:rPr>
    </w:lvl>
    <w:lvl w:ilvl="3" w:tplc="0C090001" w:tentative="1">
      <w:start w:val="1"/>
      <w:numFmt w:val="bullet"/>
      <w:lvlText w:val=""/>
      <w:lvlJc w:val="left"/>
      <w:pPr>
        <w:tabs>
          <w:tab w:val="num" w:pos="2881"/>
        </w:tabs>
        <w:ind w:left="2881" w:hanging="360"/>
      </w:pPr>
      <w:rPr>
        <w:rFonts w:ascii="Symbol" w:hAnsi="Symbol" w:hint="default"/>
      </w:rPr>
    </w:lvl>
    <w:lvl w:ilvl="4" w:tplc="0C090003" w:tentative="1">
      <w:start w:val="1"/>
      <w:numFmt w:val="bullet"/>
      <w:lvlText w:val="o"/>
      <w:lvlJc w:val="left"/>
      <w:pPr>
        <w:tabs>
          <w:tab w:val="num" w:pos="3601"/>
        </w:tabs>
        <w:ind w:left="3601" w:hanging="360"/>
      </w:pPr>
      <w:rPr>
        <w:rFonts w:ascii="Courier New" w:hAnsi="Courier New" w:hint="default"/>
      </w:rPr>
    </w:lvl>
    <w:lvl w:ilvl="5" w:tplc="0C090005" w:tentative="1">
      <w:start w:val="1"/>
      <w:numFmt w:val="bullet"/>
      <w:lvlText w:val=""/>
      <w:lvlJc w:val="left"/>
      <w:pPr>
        <w:tabs>
          <w:tab w:val="num" w:pos="4321"/>
        </w:tabs>
        <w:ind w:left="4321" w:hanging="360"/>
      </w:pPr>
      <w:rPr>
        <w:rFonts w:ascii="Wingdings" w:hAnsi="Wingdings" w:hint="default"/>
      </w:rPr>
    </w:lvl>
    <w:lvl w:ilvl="6" w:tplc="0C090001" w:tentative="1">
      <w:start w:val="1"/>
      <w:numFmt w:val="bullet"/>
      <w:lvlText w:val=""/>
      <w:lvlJc w:val="left"/>
      <w:pPr>
        <w:tabs>
          <w:tab w:val="num" w:pos="5041"/>
        </w:tabs>
        <w:ind w:left="5041" w:hanging="360"/>
      </w:pPr>
      <w:rPr>
        <w:rFonts w:ascii="Symbol" w:hAnsi="Symbol" w:hint="default"/>
      </w:rPr>
    </w:lvl>
    <w:lvl w:ilvl="7" w:tplc="0C090003" w:tentative="1">
      <w:start w:val="1"/>
      <w:numFmt w:val="bullet"/>
      <w:lvlText w:val="o"/>
      <w:lvlJc w:val="left"/>
      <w:pPr>
        <w:tabs>
          <w:tab w:val="num" w:pos="5761"/>
        </w:tabs>
        <w:ind w:left="5761" w:hanging="360"/>
      </w:pPr>
      <w:rPr>
        <w:rFonts w:ascii="Courier New" w:hAnsi="Courier New" w:hint="default"/>
      </w:rPr>
    </w:lvl>
    <w:lvl w:ilvl="8" w:tplc="0C090005" w:tentative="1">
      <w:start w:val="1"/>
      <w:numFmt w:val="bullet"/>
      <w:lvlText w:val=""/>
      <w:lvlJc w:val="left"/>
      <w:pPr>
        <w:tabs>
          <w:tab w:val="num" w:pos="6481"/>
        </w:tabs>
        <w:ind w:left="6481"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rsids>
    <w:rsidRoot w:val="005B0828"/>
    <w:rsid w:val="000A01C8"/>
    <w:rsid w:val="000D649E"/>
    <w:rsid w:val="000D64C3"/>
    <w:rsid w:val="00193116"/>
    <w:rsid w:val="00210C1D"/>
    <w:rsid w:val="002240B1"/>
    <w:rsid w:val="00244887"/>
    <w:rsid w:val="00275FAE"/>
    <w:rsid w:val="002A094B"/>
    <w:rsid w:val="00310E54"/>
    <w:rsid w:val="00334745"/>
    <w:rsid w:val="00391CB7"/>
    <w:rsid w:val="003F7D8D"/>
    <w:rsid w:val="004B67C7"/>
    <w:rsid w:val="005B0828"/>
    <w:rsid w:val="006B0ECA"/>
    <w:rsid w:val="006B2035"/>
    <w:rsid w:val="007A65CD"/>
    <w:rsid w:val="00815D0A"/>
    <w:rsid w:val="00821D8A"/>
    <w:rsid w:val="00822F9C"/>
    <w:rsid w:val="008B1CDE"/>
    <w:rsid w:val="00943FB7"/>
    <w:rsid w:val="009C39EB"/>
    <w:rsid w:val="00A04E5E"/>
    <w:rsid w:val="00A136AE"/>
    <w:rsid w:val="00A812EA"/>
    <w:rsid w:val="00AD4741"/>
    <w:rsid w:val="00AF7801"/>
    <w:rsid w:val="00B43B65"/>
    <w:rsid w:val="00B92F40"/>
    <w:rsid w:val="00BE0B6D"/>
    <w:rsid w:val="00BF1D92"/>
    <w:rsid w:val="00BF64D2"/>
    <w:rsid w:val="00C82405"/>
    <w:rsid w:val="00C8554F"/>
    <w:rsid w:val="00CD0ACD"/>
    <w:rsid w:val="00CD6913"/>
    <w:rsid w:val="00D404DA"/>
    <w:rsid w:val="00D908F9"/>
    <w:rsid w:val="00DA0B26"/>
    <w:rsid w:val="00DA6ED5"/>
    <w:rsid w:val="00F44A8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styleId="FootnoteText">
    <w:name w:val="footnote text"/>
    <w:basedOn w:val="Normal"/>
    <w:link w:val="FootnoteTextChar"/>
    <w:uiPriority w:val="99"/>
    <w:semiHidden/>
    <w:rsid w:val="00A136AE"/>
    <w:pPr>
      <w:widowControl/>
      <w:suppressAutoHyphens w:val="0"/>
      <w:autoSpaceDE/>
      <w:autoSpaceDN/>
      <w:textAlignment w:val="auto"/>
    </w:pPr>
    <w:rPr>
      <w:rFonts w:ascii="Times New Roman" w:eastAsia="Times" w:hAnsi="Times New Roman" w:cs="Times New Roman"/>
      <w:sz w:val="20"/>
      <w:szCs w:val="20"/>
    </w:rPr>
  </w:style>
  <w:style w:type="character" w:customStyle="1" w:styleId="FootnoteTextChar">
    <w:name w:val="Footnote Text Char"/>
    <w:basedOn w:val="DefaultParagraphFont"/>
    <w:link w:val="FootnoteText"/>
    <w:uiPriority w:val="99"/>
    <w:semiHidden/>
    <w:rsid w:val="00A136AE"/>
    <w:rPr>
      <w:rFonts w:ascii="Times New Roman" w:eastAsia="Times" w:hAnsi="Times New Roman"/>
      <w:sz w:val="20"/>
      <w:szCs w:val="20"/>
    </w:rPr>
  </w:style>
  <w:style w:type="character" w:styleId="FootnoteReference">
    <w:name w:val="footnote reference"/>
    <w:basedOn w:val="DefaultParagraphFont"/>
    <w:uiPriority w:val="99"/>
    <w:semiHidden/>
    <w:rsid w:val="00A136AE"/>
    <w:rPr>
      <w:rFonts w:cs="Times New Roman"/>
      <w:vertAlign w:val="superscript"/>
    </w:rPr>
  </w:style>
  <w:style w:type="paragraph" w:customStyle="1" w:styleId="Default">
    <w:name w:val="Default"/>
    <w:uiPriority w:val="99"/>
    <w:rsid w:val="00A136AE"/>
    <w:pPr>
      <w:autoSpaceDE w:val="0"/>
      <w:adjustRightInd w:val="0"/>
      <w:spacing w:after="0" w:line="240" w:lineRule="auto"/>
      <w:textAlignment w:val="auto"/>
    </w:pPr>
    <w:rPr>
      <w:rFonts w:ascii="Arial" w:eastAsia="Times"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rsid w:val="005B0828"/>
    <w:pPr>
      <w:tabs>
        <w:tab w:val="center" w:pos="4513"/>
        <w:tab w:val="right" w:pos="9026"/>
      </w:tabs>
    </w:pPr>
  </w:style>
  <w:style w:type="character" w:customStyle="1" w:styleId="FooterChar">
    <w:name w:val="Footer Char"/>
    <w:basedOn w:val="DefaultParagraphFont"/>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D8428A-7FAE-4586-AB38-8503A6C25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Zilic</dc:creator>
  <cp:lastModifiedBy>Tereza Zilic</cp:lastModifiedBy>
  <cp:revision>5</cp:revision>
  <cp:lastPrinted>2017-05-08T23:51:00Z</cp:lastPrinted>
  <dcterms:created xsi:type="dcterms:W3CDTF">2017-05-11T01:13:00Z</dcterms:created>
  <dcterms:modified xsi:type="dcterms:W3CDTF">2017-05-11T05:13:00Z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