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DF76F2"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643954" w:rsidRPr="006B0ECA" w:rsidRDefault="00643954">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643954" w:rsidRPr="00D908F9" w:rsidRDefault="00643954"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86"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640"/>
      </w:tblGrid>
      <w:tr w:rsidR="00F44A8D" w:rsidRPr="00404085" w:rsidTr="00DD500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765EA5">
            <w:pPr>
              <w:jc w:val="both"/>
              <w:rPr>
                <w:b/>
                <w:lang w:eastAsia="en-US"/>
              </w:rPr>
            </w:pPr>
            <w:r>
              <w:rPr>
                <w:b/>
                <w:lang w:eastAsia="en-US"/>
              </w:rPr>
              <w:t>REVENUE CIRCULAR PTA0</w:t>
            </w:r>
            <w:r w:rsidR="00765EA5">
              <w:rPr>
                <w:b/>
                <w:lang w:eastAsia="en-US"/>
              </w:rPr>
              <w:t>1</w:t>
            </w:r>
            <w:r w:rsidR="00643954">
              <w:rPr>
                <w:b/>
                <w:lang w:eastAsia="en-US"/>
              </w:rPr>
              <w:t>8</w:t>
            </w:r>
          </w:p>
        </w:tc>
      </w:tr>
      <w:tr w:rsidR="00F44A8D" w:rsidRPr="00404085" w:rsidTr="00DD500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643954" w:rsidP="00AD4741">
            <w:pPr>
              <w:jc w:val="both"/>
              <w:rPr>
                <w:lang w:eastAsia="en-US"/>
              </w:rPr>
            </w:pPr>
            <w:r>
              <w:rPr>
                <w:lang w:eastAsia="en-US"/>
              </w:rPr>
              <w:t>Contractor Deductions</w:t>
            </w:r>
            <w:r w:rsidR="00F44A8D">
              <w:rPr>
                <w:lang w:eastAsia="en-US"/>
              </w:rPr>
              <w:t xml:space="preserve"> – </w:t>
            </w:r>
            <w:r w:rsidR="00F44A8D" w:rsidRPr="00F44A8D">
              <w:rPr>
                <w:i/>
                <w:lang w:eastAsia="en-US"/>
              </w:rPr>
              <w:t>Payroll Tax Act 2011</w:t>
            </w:r>
          </w:p>
        </w:tc>
      </w:tr>
      <w:tr w:rsidR="00F44A8D" w:rsidRPr="00404085" w:rsidTr="00DD500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765EA5">
            <w:pPr>
              <w:jc w:val="both"/>
              <w:rPr>
                <w:lang w:eastAsia="en-US"/>
              </w:rPr>
            </w:pPr>
            <w:r>
              <w:rPr>
                <w:lang w:eastAsia="en-US"/>
              </w:rPr>
              <w:t xml:space="preserve">Issue Date: </w:t>
            </w:r>
            <w:r w:rsidR="00765EA5">
              <w:rPr>
                <w:lang w:eastAsia="en-US"/>
              </w:rPr>
              <w:t>30 June 2011</w:t>
            </w:r>
          </w:p>
        </w:tc>
      </w:tr>
      <w:tr w:rsidR="00F44A8D" w:rsidRPr="00404085" w:rsidTr="00DD500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D4741">
            <w:pPr>
              <w:jc w:val="both"/>
            </w:pPr>
            <w:r>
              <w:t>Status: Current</w:t>
            </w:r>
            <w:r w:rsidR="00765EA5">
              <w:t xml:space="preserve"> – Effective from 1 July 2011</w:t>
            </w:r>
          </w:p>
        </w:tc>
      </w:tr>
      <w:tr w:rsidR="00310E54" w:rsidRPr="00404085" w:rsidTr="00DD500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765EA5">
            <w:pPr>
              <w:jc w:val="both"/>
            </w:pPr>
            <w:r>
              <w:t>Previous Circular: PT</w:t>
            </w:r>
            <w:r w:rsidR="00765EA5">
              <w:t>X01</w:t>
            </w:r>
            <w:r w:rsidR="00643954">
              <w:t>8</w:t>
            </w:r>
          </w:p>
        </w:tc>
      </w:tr>
    </w:tbl>
    <w:p w:rsidR="00F44A8D" w:rsidRPr="00DD5009" w:rsidRDefault="00395290" w:rsidP="00DD5009">
      <w:pPr>
        <w:pStyle w:val="Heading1"/>
        <w:spacing w:before="120" w:after="60" w:line="240" w:lineRule="auto"/>
        <w:ind w:left="1701" w:hanging="567"/>
        <w:jc w:val="both"/>
        <w:rPr>
          <w:rFonts w:asciiTheme="minorHAnsi" w:hAnsiTheme="minorHAnsi"/>
        </w:rPr>
      </w:pPr>
      <w:r>
        <w:rPr>
          <w:rFonts w:asciiTheme="minorHAnsi" w:hAnsiTheme="minorHAnsi"/>
        </w:rPr>
        <w:t>Preamble</w:t>
      </w:r>
    </w:p>
    <w:p w:rsidR="00643954" w:rsidRDefault="00643954" w:rsidP="00643954">
      <w:pPr>
        <w:tabs>
          <w:tab w:val="left" w:pos="1134"/>
        </w:tabs>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r w:rsidRPr="0066664F">
        <w:rPr>
          <w:rFonts w:cs="Arial"/>
        </w:rPr>
        <w:t xml:space="preserve">  </w:t>
      </w:r>
    </w:p>
    <w:p w:rsidR="00643954" w:rsidRPr="00AB5722" w:rsidRDefault="00643954" w:rsidP="00643954">
      <w:pPr>
        <w:adjustRightInd w:val="0"/>
        <w:spacing w:before="120" w:after="120"/>
        <w:ind w:left="1701" w:hanging="567"/>
        <w:jc w:val="both"/>
        <w:rPr>
          <w:rFonts w:cs="Arial"/>
          <w:color w:val="000000"/>
        </w:rPr>
      </w:pPr>
      <w:r w:rsidRPr="00AB5722">
        <w:rPr>
          <w:rFonts w:cs="Arial"/>
          <w:color w:val="000000"/>
        </w:rPr>
        <w:t>1.</w:t>
      </w:r>
      <w:r w:rsidRPr="00AB5722">
        <w:rPr>
          <w:rFonts w:cs="Arial"/>
          <w:color w:val="000000"/>
        </w:rPr>
        <w:tab/>
        <w:t>Parties to a ‘</w:t>
      </w:r>
      <w:r>
        <w:rPr>
          <w:rFonts w:cs="Arial"/>
          <w:color w:val="000000"/>
        </w:rPr>
        <w:t>relevant</w:t>
      </w:r>
      <w:r w:rsidRPr="00AB5722">
        <w:rPr>
          <w:rFonts w:cs="Arial"/>
          <w:color w:val="000000"/>
        </w:rPr>
        <w:t xml:space="preserve"> contract’ are deemed to be employers and employees (section </w:t>
      </w:r>
      <w:r>
        <w:rPr>
          <w:rFonts w:cs="Arial"/>
          <w:color w:val="000000"/>
        </w:rPr>
        <w:t>33 and 3</w:t>
      </w:r>
      <w:r w:rsidRPr="00AB5722">
        <w:rPr>
          <w:rFonts w:cs="Arial"/>
          <w:color w:val="000000"/>
        </w:rPr>
        <w:t xml:space="preserve">4 of </w:t>
      </w:r>
      <w:r w:rsidRPr="00AB5722">
        <w:rPr>
          <w:rFonts w:cs="Arial"/>
        </w:rPr>
        <w:t>the Act</w:t>
      </w:r>
      <w:r>
        <w:rPr>
          <w:rFonts w:cs="Arial"/>
        </w:rPr>
        <w:t>)</w:t>
      </w:r>
      <w:r w:rsidRPr="00AB5722">
        <w:rPr>
          <w:rFonts w:cs="Arial"/>
          <w:color w:val="000000"/>
        </w:rPr>
        <w:t xml:space="preserve"> and payments made under a contract are deemed to be wages</w:t>
      </w:r>
      <w:r>
        <w:rPr>
          <w:rFonts w:cs="Arial"/>
          <w:color w:val="000000"/>
        </w:rPr>
        <w:t xml:space="preserve"> (section 35 of the Act)</w:t>
      </w:r>
      <w:r w:rsidRPr="00AB5722">
        <w:rPr>
          <w:rFonts w:cs="Arial"/>
          <w:color w:val="000000"/>
        </w:rPr>
        <w:t>.  Deemed wages are subject to payroll tax</w:t>
      </w:r>
      <w:r>
        <w:rPr>
          <w:rFonts w:cs="Arial"/>
          <w:color w:val="000000"/>
        </w:rPr>
        <w:t xml:space="preserve"> under section 36 of the Act</w:t>
      </w:r>
      <w:r w:rsidRPr="00AB5722">
        <w:rPr>
          <w:rFonts w:cs="Arial"/>
          <w:color w:val="000000"/>
        </w:rPr>
        <w:t xml:space="preserve">.  </w:t>
      </w:r>
    </w:p>
    <w:p w:rsidR="00643954" w:rsidRPr="00AB5722" w:rsidRDefault="00643954" w:rsidP="00643954">
      <w:pPr>
        <w:adjustRightInd w:val="0"/>
        <w:spacing w:before="120" w:after="120"/>
        <w:ind w:left="1701" w:hanging="567"/>
        <w:jc w:val="both"/>
        <w:rPr>
          <w:rFonts w:cs="Arial"/>
          <w:color w:val="000000"/>
        </w:rPr>
      </w:pPr>
      <w:r w:rsidRPr="00AB5722">
        <w:rPr>
          <w:rFonts w:cs="Arial"/>
          <w:color w:val="000000"/>
        </w:rPr>
        <w:t>2.</w:t>
      </w:r>
      <w:r w:rsidRPr="00AB5722">
        <w:rPr>
          <w:rFonts w:cs="Arial"/>
          <w:color w:val="000000"/>
        </w:rPr>
        <w:tab/>
        <w:t>While most contracts for the provision of services come within the meaning of ‘</w:t>
      </w:r>
      <w:r>
        <w:rPr>
          <w:rFonts w:cs="Arial"/>
          <w:color w:val="000000"/>
        </w:rPr>
        <w:t>relevant</w:t>
      </w:r>
      <w:r w:rsidRPr="00AB5722">
        <w:rPr>
          <w:rFonts w:cs="Arial"/>
          <w:color w:val="000000"/>
        </w:rPr>
        <w:t xml:space="preserve"> contract’ under section </w:t>
      </w:r>
      <w:r>
        <w:rPr>
          <w:rFonts w:cs="Arial"/>
          <w:color w:val="000000"/>
        </w:rPr>
        <w:t>32</w:t>
      </w:r>
      <w:r w:rsidRPr="00AB5722">
        <w:rPr>
          <w:rFonts w:cs="Arial"/>
          <w:color w:val="000000"/>
        </w:rPr>
        <w:t xml:space="preserve"> of the Act, certain types of contracts are specifically excluded from the definition of ‘</w:t>
      </w:r>
      <w:r>
        <w:rPr>
          <w:rFonts w:cs="Arial"/>
          <w:color w:val="000000"/>
        </w:rPr>
        <w:t>relevant</w:t>
      </w:r>
      <w:r w:rsidRPr="00AB5722">
        <w:rPr>
          <w:rFonts w:cs="Arial"/>
          <w:color w:val="000000"/>
        </w:rPr>
        <w:t xml:space="preserve"> contract’.  </w:t>
      </w:r>
    </w:p>
    <w:p w:rsidR="00643954" w:rsidRPr="00AB5722" w:rsidRDefault="00643954" w:rsidP="00643954">
      <w:pPr>
        <w:adjustRightInd w:val="0"/>
        <w:spacing w:before="120" w:after="120"/>
        <w:ind w:left="1701" w:hanging="567"/>
        <w:jc w:val="both"/>
        <w:rPr>
          <w:rFonts w:cs="Arial"/>
          <w:color w:val="000000"/>
        </w:rPr>
      </w:pPr>
      <w:r w:rsidRPr="00AB5722">
        <w:rPr>
          <w:rFonts w:cs="Arial"/>
          <w:color w:val="000000"/>
        </w:rPr>
        <w:t>3.</w:t>
      </w:r>
      <w:r w:rsidRPr="00AB5722">
        <w:rPr>
          <w:rFonts w:cs="Arial"/>
          <w:color w:val="000000"/>
        </w:rPr>
        <w:tab/>
        <w:t xml:space="preserve">Where none of the exclusions apply, section </w:t>
      </w:r>
      <w:r>
        <w:rPr>
          <w:rFonts w:cs="Arial"/>
          <w:color w:val="000000"/>
        </w:rPr>
        <w:t>35(2)</w:t>
      </w:r>
      <w:r w:rsidRPr="00AB5722">
        <w:rPr>
          <w:rFonts w:cs="Arial"/>
          <w:color w:val="000000"/>
        </w:rPr>
        <w:t xml:space="preserve"> of the Act allows the Commissioner for </w:t>
      </w:r>
      <w:smartTag w:uri="urn:schemas-microsoft-com:office:smarttags" w:element="PersonName">
        <w:r w:rsidRPr="00AB5722">
          <w:rPr>
            <w:rFonts w:cs="Arial"/>
            <w:color w:val="000000"/>
          </w:rPr>
          <w:t>ACT Revenue</w:t>
        </w:r>
      </w:smartTag>
      <w:r w:rsidRPr="00AB5722">
        <w:rPr>
          <w:rFonts w:cs="Arial"/>
          <w:color w:val="000000"/>
        </w:rPr>
        <w:t xml:space="preserve"> to determine an amount which can be deducted from the payments made under the contract.  </w:t>
      </w:r>
    </w:p>
    <w:p w:rsidR="00643954" w:rsidRPr="00AB5722" w:rsidRDefault="00643954" w:rsidP="00643954">
      <w:pPr>
        <w:adjustRightInd w:val="0"/>
        <w:spacing w:before="120" w:after="120"/>
        <w:ind w:left="1701" w:hanging="567"/>
        <w:jc w:val="both"/>
        <w:rPr>
          <w:rFonts w:cs="Arial"/>
          <w:color w:val="000000"/>
        </w:rPr>
      </w:pPr>
      <w:r w:rsidRPr="00AB5722">
        <w:rPr>
          <w:rFonts w:cs="Arial"/>
          <w:color w:val="000000"/>
        </w:rPr>
        <w:t>4.</w:t>
      </w:r>
      <w:r w:rsidRPr="00AB5722">
        <w:rPr>
          <w:rFonts w:cs="Arial"/>
          <w:color w:val="000000"/>
        </w:rPr>
        <w:tab/>
        <w:t xml:space="preserve">The purpose of this circular is to set out those deductions for materials and equipment for certain types of contractors and to outline the manner in which new deductions may be granted.  </w:t>
      </w:r>
    </w:p>
    <w:p w:rsidR="00F44A8D" w:rsidRPr="00DD5009" w:rsidRDefault="00F44A8D" w:rsidP="00DD5009">
      <w:pPr>
        <w:pStyle w:val="Heading1"/>
        <w:spacing w:before="60" w:line="240" w:lineRule="auto"/>
        <w:ind w:left="1134" w:firstLine="0"/>
        <w:jc w:val="both"/>
        <w:rPr>
          <w:rFonts w:asciiTheme="minorHAnsi" w:hAnsiTheme="minorHAnsi"/>
        </w:rPr>
      </w:pPr>
      <w:r w:rsidRPr="00DD5009">
        <w:rPr>
          <w:rFonts w:asciiTheme="minorHAnsi" w:hAnsiTheme="minorHAnsi"/>
        </w:rPr>
        <w:t>Circular</w:t>
      </w:r>
    </w:p>
    <w:p w:rsidR="00643954" w:rsidRPr="00643954" w:rsidRDefault="00643954" w:rsidP="00643954">
      <w:pPr>
        <w:ind w:left="1134"/>
        <w:outlineLvl w:val="1"/>
        <w:rPr>
          <w:rFonts w:cs="Arial"/>
          <w:b/>
        </w:rPr>
      </w:pPr>
      <w:r w:rsidRPr="00643954">
        <w:rPr>
          <w:rFonts w:cs="Arial"/>
          <w:b/>
        </w:rPr>
        <w:t>Contractor Deductions</w:t>
      </w:r>
    </w:p>
    <w:p w:rsidR="00643954" w:rsidRPr="00643954" w:rsidRDefault="00643954" w:rsidP="00643954">
      <w:pPr>
        <w:adjustRightInd w:val="0"/>
        <w:spacing w:before="120" w:after="120"/>
        <w:ind w:left="1701" w:hanging="567"/>
        <w:jc w:val="both"/>
        <w:rPr>
          <w:rFonts w:cs="Arial"/>
          <w:color w:val="000000"/>
        </w:rPr>
      </w:pPr>
      <w:r w:rsidRPr="00AB5722">
        <w:rPr>
          <w:rFonts w:cs="Arial"/>
          <w:color w:val="000000"/>
        </w:rPr>
        <w:t>5.</w:t>
      </w:r>
      <w:r w:rsidRPr="00AB5722">
        <w:rPr>
          <w:rFonts w:cs="Arial"/>
          <w:color w:val="000000"/>
        </w:rPr>
        <w:tab/>
        <w:t xml:space="preserve">Deductions below are for the non-labour components where the contractor provides equipment and/or materials.  The Commissioner for </w:t>
      </w:r>
      <w:smartTag w:uri="urn:schemas-microsoft-com:office:smarttags" w:element="PersonName">
        <w:r w:rsidRPr="00AB5722">
          <w:rPr>
            <w:rFonts w:cs="Arial"/>
            <w:color w:val="000000"/>
          </w:rPr>
          <w:t>ACT Revenue</w:t>
        </w:r>
      </w:smartTag>
      <w:r w:rsidRPr="00AB5722">
        <w:rPr>
          <w:rFonts w:cs="Arial"/>
          <w:color w:val="000000"/>
        </w:rPr>
        <w:t xml:space="preserve"> has allowed the following percentage deductions:</w:t>
      </w:r>
    </w:p>
    <w:p w:rsidR="00643954" w:rsidRDefault="00643954" w:rsidP="00910729">
      <w:pPr>
        <w:pStyle w:val="Default"/>
        <w:spacing w:before="120" w:after="120"/>
        <w:ind w:left="1701" w:hanging="567"/>
        <w:rPr>
          <w:rFonts w:ascii="Calibri" w:hAnsi="Calibri"/>
        </w:rPr>
      </w:pPr>
    </w:p>
    <w:p w:rsidR="00643954" w:rsidRPr="00910729" w:rsidRDefault="00643954" w:rsidP="00910729">
      <w:pPr>
        <w:pStyle w:val="Default"/>
        <w:spacing w:before="120" w:after="120"/>
        <w:ind w:left="1701" w:hanging="567"/>
        <w:rPr>
          <w:rFonts w:ascii="Calibri" w:hAnsi="Calibri"/>
        </w:rPr>
      </w:pPr>
    </w:p>
    <w:p w:rsidR="00F44A8D" w:rsidRDefault="00F44A8D" w:rsidP="00643954">
      <w:pPr>
        <w:pStyle w:val="Heading2"/>
        <w:ind w:left="0" w:firstLine="0"/>
        <w:jc w:val="both"/>
        <w:sectPr w:rsidR="00F44A8D" w:rsidSect="00765EA5">
          <w:headerReference w:type="default" r:id="rId9"/>
          <w:footerReference w:type="default" r:id="rId10"/>
          <w:footerReference w:type="first" r:id="rId11"/>
          <w:pgSz w:w="11910" w:h="16840" w:code="9"/>
          <w:pgMar w:top="-9" w:right="1137" w:bottom="1100" w:left="0" w:header="0" w:footer="318" w:gutter="0"/>
          <w:cols w:space="720"/>
          <w:titlePg/>
          <w:docGrid w:linePitch="326"/>
        </w:sectPr>
      </w:pPr>
    </w:p>
    <w:p w:rsidR="00643954" w:rsidRDefault="00643954" w:rsidP="00643954">
      <w:pPr>
        <w:pStyle w:val="Default"/>
        <w:spacing w:before="120" w:after="120"/>
        <w:jc w:val="both"/>
        <w:rPr>
          <w:rFonts w:ascii="Calibri" w:hAnsi="Calibri"/>
        </w:rPr>
      </w:pPr>
    </w:p>
    <w:tbl>
      <w:tblPr>
        <w:tblpPr w:leftFromText="180" w:rightFromText="180" w:vertAnchor="text" w:tblpX="103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711"/>
      </w:tblGrid>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b/>
                <w:bCs/>
                <w:color w:val="000000"/>
              </w:rPr>
              <w:t>Type of contractor</w:t>
            </w:r>
          </w:p>
        </w:tc>
        <w:tc>
          <w:tcPr>
            <w:tcW w:w="4711" w:type="dxa"/>
          </w:tcPr>
          <w:p w:rsidR="00643954" w:rsidRPr="00AB5722" w:rsidRDefault="00643954" w:rsidP="00643954">
            <w:pPr>
              <w:adjustRightInd w:val="0"/>
              <w:spacing w:before="100" w:after="100"/>
              <w:rPr>
                <w:rFonts w:cs="Arial"/>
                <w:color w:val="000000"/>
              </w:rPr>
            </w:pPr>
            <w:r w:rsidRPr="00AB5722">
              <w:rPr>
                <w:rFonts w:cs="Arial"/>
                <w:b/>
                <w:bCs/>
                <w:color w:val="000000"/>
              </w:rPr>
              <w:t>Deduction from gross payments to contractor</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Architects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Blind Fitters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25%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Bricklayers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30%</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Building Supervisors (who provide their own vehicles and inspect more than six sites per week)</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25%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Cabinet Makers/Kitchen Fitters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30%</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Carpenters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25%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Carpet layers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25%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Computer programmers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Draftspersons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Electricians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25%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Engineers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Fencing contractors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25%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Painters (who provide their own paint)</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30%</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Painters (who do not provide their own paint)</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15%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Plumbers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25%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Resilient floor layers/vinyl layers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37%</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Roof tilers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25%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Tree fellers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25%</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Wall and ceiling plasterers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20%</w:t>
            </w:r>
          </w:p>
        </w:tc>
      </w:tr>
      <w:tr w:rsidR="00643954" w:rsidRPr="00AB5722" w:rsidTr="00643954">
        <w:trPr>
          <w:trHeight w:val="292"/>
        </w:trPr>
        <w:tc>
          <w:tcPr>
            <w:tcW w:w="5070" w:type="dxa"/>
          </w:tcPr>
          <w:p w:rsidR="00643954" w:rsidRPr="00AB5722" w:rsidRDefault="00643954" w:rsidP="00643954">
            <w:pPr>
              <w:adjustRightInd w:val="0"/>
              <w:spacing w:before="100" w:after="100"/>
              <w:rPr>
                <w:rFonts w:cs="Arial"/>
                <w:color w:val="000000"/>
              </w:rPr>
            </w:pPr>
            <w:r w:rsidRPr="00AB5722">
              <w:rPr>
                <w:rFonts w:cs="Arial"/>
                <w:color w:val="000000"/>
              </w:rPr>
              <w:t>Wall and floor tilers</w:t>
            </w:r>
          </w:p>
        </w:tc>
        <w:tc>
          <w:tcPr>
            <w:tcW w:w="4711" w:type="dxa"/>
          </w:tcPr>
          <w:p w:rsidR="00643954" w:rsidRPr="00AB5722" w:rsidRDefault="00643954" w:rsidP="00643954">
            <w:pPr>
              <w:adjustRightInd w:val="0"/>
              <w:spacing w:before="100" w:after="100"/>
              <w:ind w:left="317"/>
              <w:rPr>
                <w:rFonts w:cs="Arial"/>
                <w:color w:val="000000"/>
              </w:rPr>
            </w:pPr>
            <w:r w:rsidRPr="00AB5722">
              <w:rPr>
                <w:rFonts w:cs="Arial"/>
                <w:color w:val="000000"/>
              </w:rPr>
              <w:t>25%</w:t>
            </w:r>
          </w:p>
        </w:tc>
      </w:tr>
    </w:tbl>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643954">
      <w:pPr>
        <w:pStyle w:val="Default"/>
        <w:spacing w:before="120" w:after="120"/>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rPr>
      </w:pPr>
    </w:p>
    <w:p w:rsidR="00643954" w:rsidRDefault="00643954" w:rsidP="00910729">
      <w:pPr>
        <w:pStyle w:val="Default"/>
        <w:spacing w:before="120" w:after="120"/>
        <w:ind w:left="1418" w:hanging="567"/>
        <w:jc w:val="both"/>
        <w:rPr>
          <w:rFonts w:ascii="Calibri" w:hAnsi="Calibri" w:cs="Times New Roman"/>
          <w:color w:val="auto"/>
        </w:rPr>
      </w:pPr>
      <w:r w:rsidRPr="00643954">
        <w:rPr>
          <w:rFonts w:ascii="Calibri" w:hAnsi="Calibri" w:cs="Times New Roman"/>
          <w:color w:val="auto"/>
        </w:rPr>
        <w:t>6.</w:t>
      </w:r>
      <w:r w:rsidRPr="00643954">
        <w:rPr>
          <w:rFonts w:ascii="Calibri" w:hAnsi="Calibri" w:cs="Times New Roman"/>
          <w:color w:val="auto"/>
        </w:rPr>
        <w:tab/>
        <w:t xml:space="preserve">If a profession/trade is not listed above, a principal may apply to the Commissioner for </w:t>
      </w:r>
      <w:smartTag w:uri="urn:schemas-microsoft-com:office:smarttags" w:element="PersonName">
        <w:r w:rsidRPr="00643954">
          <w:rPr>
            <w:rFonts w:ascii="Calibri" w:hAnsi="Calibri" w:cs="Times New Roman"/>
            <w:color w:val="auto"/>
          </w:rPr>
          <w:t>ACT Revenue</w:t>
        </w:r>
      </w:smartTag>
      <w:r w:rsidRPr="00643954">
        <w:rPr>
          <w:rFonts w:ascii="Calibri" w:hAnsi="Calibri" w:cs="Times New Roman"/>
          <w:color w:val="auto"/>
        </w:rPr>
        <w:t xml:space="preserve"> for a determination</w:t>
      </w:r>
      <w:r w:rsidRPr="001316BC">
        <w:rPr>
          <w:rFonts w:ascii="Calibri" w:hAnsi="Calibri" w:cs="Times New Roman"/>
          <w:color w:val="auto"/>
        </w:rPr>
        <w:t xml:space="preserve"> </w:t>
      </w:r>
    </w:p>
    <w:p w:rsidR="00643954" w:rsidRPr="00643954" w:rsidRDefault="00643954" w:rsidP="008D326E">
      <w:pPr>
        <w:pStyle w:val="Default"/>
        <w:ind w:left="1418" w:hanging="567"/>
        <w:jc w:val="both"/>
        <w:rPr>
          <w:rFonts w:ascii="Calibri" w:hAnsi="Calibri" w:cs="Times New Roman"/>
          <w:color w:val="auto"/>
        </w:rPr>
      </w:pPr>
      <w:r w:rsidRPr="00643954">
        <w:rPr>
          <w:rFonts w:ascii="Calibri" w:hAnsi="Calibri" w:cs="Times New Roman"/>
          <w:color w:val="auto"/>
        </w:rPr>
        <w:t>7.</w:t>
      </w:r>
      <w:r w:rsidRPr="00643954">
        <w:rPr>
          <w:rFonts w:ascii="Calibri" w:hAnsi="Calibri" w:cs="Times New Roman"/>
          <w:color w:val="auto"/>
        </w:rPr>
        <w:tab/>
        <w:t xml:space="preserve">In applying for a determination, details of the cost of materials and equipment provided by the contractor must be provided. </w:t>
      </w:r>
    </w:p>
    <w:p w:rsidR="00310E54" w:rsidRDefault="00310E54" w:rsidP="008D326E">
      <w:pPr>
        <w:adjustRightInd w:val="0"/>
        <w:ind w:left="851"/>
        <w:jc w:val="both"/>
        <w:rPr>
          <w:rFonts w:cs="Arial"/>
          <w:bCs/>
        </w:rPr>
      </w:pPr>
    </w:p>
    <w:p w:rsidR="00F44A8D" w:rsidRDefault="00F44A8D" w:rsidP="008D326E">
      <w:pPr>
        <w:adjustRightInd w:val="0"/>
        <w:ind w:left="851"/>
        <w:jc w:val="both"/>
        <w:rPr>
          <w:rFonts w:cs="Arial"/>
          <w:bCs/>
        </w:rPr>
      </w:pPr>
      <w:r>
        <w:rPr>
          <w:rFonts w:cs="Arial"/>
          <w:bCs/>
        </w:rPr>
        <w:t>SIGNED</w:t>
      </w:r>
    </w:p>
    <w:p w:rsidR="00F44A8D" w:rsidRPr="00564BD6" w:rsidRDefault="00F44A8D" w:rsidP="00910729">
      <w:pPr>
        <w:adjustRightInd w:val="0"/>
        <w:ind w:left="851"/>
        <w:jc w:val="both"/>
        <w:rPr>
          <w:rFonts w:cs="Arial"/>
          <w:bCs/>
        </w:rPr>
      </w:pPr>
    </w:p>
    <w:p w:rsidR="00F44A8D" w:rsidRPr="00564BD6" w:rsidRDefault="00DD5009" w:rsidP="00910729">
      <w:pPr>
        <w:adjustRightInd w:val="0"/>
        <w:ind w:left="851"/>
        <w:jc w:val="both"/>
        <w:rPr>
          <w:rFonts w:cs="Arial"/>
          <w:bCs/>
        </w:rPr>
      </w:pPr>
      <w:r>
        <w:rPr>
          <w:rFonts w:cs="Arial"/>
          <w:bCs/>
        </w:rPr>
        <w:t>David Read</w:t>
      </w:r>
    </w:p>
    <w:p w:rsidR="00F44A8D" w:rsidRPr="00564BD6" w:rsidRDefault="00F44A8D" w:rsidP="00910729">
      <w:pPr>
        <w:adjustRightInd w:val="0"/>
        <w:ind w:left="851"/>
        <w:jc w:val="both"/>
        <w:rPr>
          <w:rFonts w:cs="Arial"/>
        </w:rPr>
      </w:pPr>
      <w:r w:rsidRPr="00564BD6">
        <w:rPr>
          <w:rFonts w:cs="Arial"/>
        </w:rPr>
        <w:t>Commissioner for ACT Revenue</w:t>
      </w:r>
    </w:p>
    <w:p w:rsidR="00F44A8D" w:rsidRPr="00310E54" w:rsidRDefault="00DD5009" w:rsidP="00910729">
      <w:pPr>
        <w:adjustRightInd w:val="0"/>
        <w:ind w:left="851"/>
        <w:jc w:val="both"/>
        <w:rPr>
          <w:rFonts w:cs="Arial"/>
          <w:bCs/>
        </w:rPr>
      </w:pPr>
      <w:r>
        <w:rPr>
          <w:rFonts w:cs="Arial"/>
          <w:bCs/>
        </w:rPr>
        <w:t>30 June 2011</w:t>
      </w:r>
    </w:p>
    <w:sectPr w:rsidR="00F44A8D" w:rsidRPr="00310E54" w:rsidSect="008D326E">
      <w:pgSz w:w="11910" w:h="16840" w:code="9"/>
      <w:pgMar w:top="284" w:right="1137"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954" w:rsidRDefault="00643954" w:rsidP="005B0828">
      <w:r>
        <w:separator/>
      </w:r>
    </w:p>
  </w:endnote>
  <w:endnote w:type="continuationSeparator" w:id="0">
    <w:p w:rsidR="00643954" w:rsidRDefault="00643954"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54" w:rsidRDefault="00643954">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54" w:rsidRPr="00F44A8D" w:rsidRDefault="00643954"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954" w:rsidRDefault="00643954" w:rsidP="005B0828">
      <w:r w:rsidRPr="005B0828">
        <w:rPr>
          <w:color w:val="000000"/>
        </w:rPr>
        <w:separator/>
      </w:r>
    </w:p>
  </w:footnote>
  <w:footnote w:type="continuationSeparator" w:id="0">
    <w:p w:rsidR="00643954" w:rsidRDefault="00643954"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54" w:rsidRDefault="00643954"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0CAE0F6E"/>
    <w:multiLevelType w:val="hybridMultilevel"/>
    <w:tmpl w:val="5D9233E0"/>
    <w:lvl w:ilvl="0" w:tplc="E1565F5E">
      <w:start w:val="1"/>
      <w:numFmt w:val="lowerLetter"/>
      <w:lvlText w:val="(%1)"/>
      <w:lvlJc w:val="left"/>
      <w:pPr>
        <w:tabs>
          <w:tab w:val="num" w:pos="1440"/>
        </w:tabs>
        <w:ind w:left="1440" w:hanging="72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59611453"/>
    <w:multiLevelType w:val="hybridMultilevel"/>
    <w:tmpl w:val="E3F008CA"/>
    <w:lvl w:ilvl="0" w:tplc="E1565F5E">
      <w:start w:val="1"/>
      <w:numFmt w:val="lowerLetter"/>
      <w:lvlText w:val="(%1)"/>
      <w:lvlJc w:val="left"/>
      <w:pPr>
        <w:tabs>
          <w:tab w:val="num" w:pos="1440"/>
        </w:tabs>
        <w:ind w:left="1440" w:hanging="720"/>
      </w:pPr>
      <w:rPr>
        <w:rFonts w:cs="Times New Roman" w:hint="default"/>
      </w:rPr>
    </w:lvl>
    <w:lvl w:ilvl="1" w:tplc="0C090003" w:tentative="1">
      <w:start w:val="1"/>
      <w:numFmt w:val="bullet"/>
      <w:lvlText w:val="o"/>
      <w:lvlJc w:val="left"/>
      <w:pPr>
        <w:tabs>
          <w:tab w:val="num" w:pos="1877"/>
        </w:tabs>
        <w:ind w:left="1877" w:hanging="360"/>
      </w:pPr>
      <w:rPr>
        <w:rFonts w:ascii="Courier New" w:hAnsi="Courier New" w:hint="default"/>
      </w:rPr>
    </w:lvl>
    <w:lvl w:ilvl="2" w:tplc="0C090005" w:tentative="1">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5B0828"/>
    <w:rsid w:val="000D649E"/>
    <w:rsid w:val="000D64C3"/>
    <w:rsid w:val="00193116"/>
    <w:rsid w:val="00210C1D"/>
    <w:rsid w:val="002240B1"/>
    <w:rsid w:val="00244887"/>
    <w:rsid w:val="00275FAE"/>
    <w:rsid w:val="00310E54"/>
    <w:rsid w:val="00391CB7"/>
    <w:rsid w:val="00395290"/>
    <w:rsid w:val="005562AD"/>
    <w:rsid w:val="005B0828"/>
    <w:rsid w:val="005D4557"/>
    <w:rsid w:val="00643954"/>
    <w:rsid w:val="006549B2"/>
    <w:rsid w:val="006B0ECA"/>
    <w:rsid w:val="006B2035"/>
    <w:rsid w:val="00765EA5"/>
    <w:rsid w:val="0076715B"/>
    <w:rsid w:val="00822F9C"/>
    <w:rsid w:val="008B1CDE"/>
    <w:rsid w:val="008D326E"/>
    <w:rsid w:val="0090083D"/>
    <w:rsid w:val="00910729"/>
    <w:rsid w:val="00A812EA"/>
    <w:rsid w:val="00AD4741"/>
    <w:rsid w:val="00AF7801"/>
    <w:rsid w:val="00BE0B6D"/>
    <w:rsid w:val="00BF64D2"/>
    <w:rsid w:val="00C82405"/>
    <w:rsid w:val="00C8554F"/>
    <w:rsid w:val="00CD0ACD"/>
    <w:rsid w:val="00CD6913"/>
    <w:rsid w:val="00CE6253"/>
    <w:rsid w:val="00D3419A"/>
    <w:rsid w:val="00D908F9"/>
    <w:rsid w:val="00DA0B26"/>
    <w:rsid w:val="00DA6ED5"/>
    <w:rsid w:val="00DD5009"/>
    <w:rsid w:val="00DF76F2"/>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customStyle="1" w:styleId="Default">
    <w:name w:val="Default"/>
    <w:uiPriority w:val="99"/>
    <w:rsid w:val="00910729"/>
    <w:pPr>
      <w:autoSpaceDE w:val="0"/>
      <w:adjustRightInd w:val="0"/>
      <w:spacing w:after="0" w:line="240" w:lineRule="auto"/>
      <w:textAlignment w:val="auto"/>
    </w:pPr>
    <w:rPr>
      <w:rFonts w:ascii="Arial" w:eastAsia="Times" w:hAnsi="Arial" w:cs="Arial"/>
      <w:color w:val="000000"/>
      <w:sz w:val="24"/>
      <w:szCs w:val="24"/>
    </w:rPr>
  </w:style>
  <w:style w:type="paragraph" w:styleId="PlainText">
    <w:name w:val="Plain Text"/>
    <w:basedOn w:val="Default"/>
    <w:next w:val="Default"/>
    <w:link w:val="PlainTextChar"/>
    <w:uiPriority w:val="99"/>
    <w:rsid w:val="00910729"/>
    <w:pPr>
      <w:spacing w:before="100" w:after="100"/>
    </w:pPr>
    <w:rPr>
      <w:rFonts w:cs="Times New Roman"/>
      <w:color w:val="auto"/>
    </w:rPr>
  </w:style>
  <w:style w:type="character" w:customStyle="1" w:styleId="PlainTextChar">
    <w:name w:val="Plain Text Char"/>
    <w:basedOn w:val="DefaultParagraphFont"/>
    <w:link w:val="PlainText"/>
    <w:uiPriority w:val="99"/>
    <w:rsid w:val="00910729"/>
    <w:rPr>
      <w:rFonts w:ascii="Arial" w:eastAsia="Times"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E5C7E-BD38-4DCE-A0F4-13E76626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4</cp:revision>
  <cp:lastPrinted>2017-05-08T23:51:00Z</cp:lastPrinted>
  <dcterms:created xsi:type="dcterms:W3CDTF">2017-05-11T04:50:00Z</dcterms:created>
  <dcterms:modified xsi:type="dcterms:W3CDTF">2017-05-11T05:17:00Z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