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7F7D66" w:rsidP="00B00642">
      <w:pPr>
        <w:pStyle w:val="BodyText"/>
        <w:overflowPunct w:val="0"/>
        <w:ind w:left="-284"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394"/>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E81FA3">
            <w:pPr>
              <w:jc w:val="both"/>
              <w:rPr>
                <w:b/>
                <w:lang w:eastAsia="en-US"/>
              </w:rPr>
            </w:pPr>
            <w:r>
              <w:rPr>
                <w:b/>
                <w:lang w:eastAsia="en-US"/>
              </w:rPr>
              <w:t xml:space="preserve">REVENUE CIRCULAR </w:t>
            </w:r>
            <w:r w:rsidR="001B4F72">
              <w:rPr>
                <w:b/>
                <w:lang w:eastAsia="en-US"/>
              </w:rPr>
              <w:t>DAA011</w:t>
            </w:r>
            <w:r w:rsidR="00D37A7F">
              <w:rPr>
                <w:b/>
                <w:lang w:eastAsia="en-US"/>
              </w:rPr>
              <w:t>.2</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1B4F72" w:rsidP="00CF5275">
            <w:pPr>
              <w:jc w:val="both"/>
              <w:rPr>
                <w:lang w:eastAsia="en-US"/>
              </w:rPr>
            </w:pPr>
            <w:r>
              <w:rPr>
                <w:lang w:eastAsia="en-US"/>
              </w:rPr>
              <w:t>Dutiable Transactions Relating to Goods</w:t>
            </w:r>
            <w:r w:rsidR="00CF5275">
              <w:rPr>
                <w:lang w:eastAsia="en-US"/>
              </w:rPr>
              <w:t xml:space="preserve"> - </w:t>
            </w:r>
            <w:r w:rsidR="00E81FA3" w:rsidRPr="00E81FA3">
              <w:rPr>
                <w:i/>
                <w:lang w:eastAsia="en-US"/>
              </w:rPr>
              <w:t>Duties Act 1999</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1C02E7">
            <w:pPr>
              <w:jc w:val="both"/>
              <w:rPr>
                <w:lang w:eastAsia="en-US"/>
              </w:rPr>
            </w:pPr>
            <w:r>
              <w:rPr>
                <w:lang w:eastAsia="en-US"/>
              </w:rPr>
              <w:t xml:space="preserve">Issue Date: </w:t>
            </w:r>
            <w:r w:rsidR="001C02E7">
              <w:rPr>
                <w:lang w:eastAsia="en-US"/>
              </w:rPr>
              <w:t>7 August 2015</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1C02E7">
            <w:pPr>
              <w:jc w:val="both"/>
            </w:pPr>
            <w:r>
              <w:t>Status: Current</w:t>
            </w:r>
            <w:r w:rsidR="00BB7D19">
              <w:t xml:space="preserve"> – Effective </w:t>
            </w:r>
            <w:r w:rsidR="001C02E7">
              <w:t>7 August</w:t>
            </w:r>
            <w:r w:rsidR="00A970B8">
              <w:t xml:space="preserve"> 201</w:t>
            </w:r>
            <w:r w:rsidR="00CF5275">
              <w:t>5</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1B4F72">
            <w:pPr>
              <w:jc w:val="both"/>
            </w:pPr>
            <w:r>
              <w:t xml:space="preserve">Previous Circular: </w:t>
            </w:r>
            <w:r w:rsidR="00E81FA3">
              <w:t>D</w:t>
            </w:r>
            <w:r w:rsidR="001C02E7">
              <w:t>AA01</w:t>
            </w:r>
            <w:r w:rsidR="001B4F72">
              <w:t>1</w:t>
            </w:r>
            <w:r w:rsidR="001C02E7">
              <w:t>.2</w:t>
            </w:r>
          </w:p>
        </w:tc>
      </w:tr>
    </w:tbl>
    <w:p w:rsidR="00F44A8D" w:rsidRPr="00AD4741" w:rsidRDefault="00BB7D19" w:rsidP="001B4F72">
      <w:pPr>
        <w:pStyle w:val="Heading1"/>
        <w:spacing w:before="60" w:after="60" w:line="240" w:lineRule="auto"/>
        <w:ind w:left="1701" w:hanging="567"/>
        <w:jc w:val="both"/>
      </w:pPr>
      <w:r>
        <w:t>Preamble</w:t>
      </w:r>
    </w:p>
    <w:p w:rsidR="00FE502D" w:rsidRPr="00FE502D" w:rsidRDefault="00FE502D" w:rsidP="00FE502D">
      <w:pPr>
        <w:widowControl/>
        <w:numPr>
          <w:ilvl w:val="0"/>
          <w:numId w:val="15"/>
        </w:numPr>
        <w:tabs>
          <w:tab w:val="clear" w:pos="720"/>
        </w:tabs>
        <w:suppressAutoHyphens w:val="0"/>
        <w:adjustRightInd w:val="0"/>
        <w:spacing w:before="60" w:after="60"/>
        <w:ind w:left="1560" w:hanging="426"/>
        <w:jc w:val="both"/>
        <w:textAlignment w:val="auto"/>
        <w:rPr>
          <w:rFonts w:asciiTheme="minorHAnsi" w:hAnsiTheme="minorHAnsi" w:cs="Arial"/>
          <w:color w:val="000000"/>
        </w:rPr>
      </w:pPr>
      <w:r w:rsidRPr="00FE502D">
        <w:rPr>
          <w:rFonts w:asciiTheme="minorHAnsi" w:hAnsiTheme="minorHAnsi" w:cs="Arial"/>
          <w:color w:val="000000"/>
        </w:rPr>
        <w:t xml:space="preserve">Chapter 2 of the </w:t>
      </w:r>
      <w:r w:rsidRPr="00FE502D">
        <w:rPr>
          <w:rFonts w:asciiTheme="minorHAnsi" w:hAnsiTheme="minorHAnsi" w:cs="Arial"/>
          <w:i/>
          <w:iCs/>
        </w:rPr>
        <w:t xml:space="preserve">Duties Act 1999 </w:t>
      </w:r>
      <w:r w:rsidRPr="00FE502D">
        <w:rPr>
          <w:rFonts w:asciiTheme="minorHAnsi" w:hAnsiTheme="minorHAnsi" w:cs="Arial"/>
        </w:rPr>
        <w:t>(the Act) impo</w:t>
      </w:r>
      <w:r w:rsidRPr="00FE502D">
        <w:rPr>
          <w:rFonts w:asciiTheme="minorHAnsi" w:hAnsiTheme="minorHAnsi" w:cs="Arial"/>
          <w:color w:val="000000"/>
        </w:rPr>
        <w:t>ses duty on dutiable transactions concerning dutiable property.</w:t>
      </w:r>
    </w:p>
    <w:p w:rsidR="00FE502D" w:rsidRPr="00FE502D" w:rsidRDefault="00FE502D" w:rsidP="00FE502D">
      <w:pPr>
        <w:widowControl/>
        <w:numPr>
          <w:ilvl w:val="0"/>
          <w:numId w:val="15"/>
        </w:numPr>
        <w:tabs>
          <w:tab w:val="clear" w:pos="720"/>
        </w:tabs>
        <w:suppressAutoHyphens w:val="0"/>
        <w:adjustRightInd w:val="0"/>
        <w:spacing w:before="120"/>
        <w:ind w:left="1560" w:hanging="426"/>
        <w:jc w:val="both"/>
        <w:textAlignment w:val="auto"/>
        <w:rPr>
          <w:rFonts w:asciiTheme="minorHAnsi" w:hAnsiTheme="minorHAnsi" w:cs="Arial"/>
          <w:color w:val="000000"/>
        </w:rPr>
      </w:pPr>
      <w:r w:rsidRPr="00FE502D">
        <w:rPr>
          <w:rFonts w:asciiTheme="minorHAnsi" w:hAnsiTheme="minorHAnsi" w:cs="Arial"/>
          <w:color w:val="000000"/>
        </w:rPr>
        <w:t>This circular identifies circumstances in which duty will be payable under Chapter 2 of the Act on transfers and other dutiable transactions in relation to goods.</w:t>
      </w:r>
    </w:p>
    <w:p w:rsidR="00E81FA3" w:rsidRDefault="00F44A8D" w:rsidP="00FE502D">
      <w:pPr>
        <w:pStyle w:val="Heading1"/>
        <w:spacing w:before="0" w:line="240" w:lineRule="auto"/>
        <w:ind w:left="1134" w:firstLine="0"/>
        <w:jc w:val="both"/>
        <w:rPr>
          <w:rFonts w:asciiTheme="minorHAnsi" w:hAnsiTheme="minorHAnsi"/>
        </w:rPr>
      </w:pPr>
      <w:r w:rsidRPr="00AD4741">
        <w:rPr>
          <w:rFonts w:asciiTheme="minorHAnsi" w:hAnsiTheme="minorHAnsi"/>
        </w:rPr>
        <w:t>Circular</w:t>
      </w:r>
    </w:p>
    <w:p w:rsidR="001B4F72" w:rsidRPr="001B4F72" w:rsidRDefault="001B4F72" w:rsidP="001B4F72">
      <w:pPr>
        <w:adjustRightInd w:val="0"/>
        <w:spacing w:after="120"/>
        <w:ind w:left="1560" w:hanging="426"/>
        <w:jc w:val="both"/>
        <w:rPr>
          <w:rFonts w:asciiTheme="minorHAnsi" w:hAnsiTheme="minorHAnsi" w:cs="Arial"/>
          <w:color w:val="000000"/>
        </w:rPr>
      </w:pPr>
      <w:r>
        <w:rPr>
          <w:rFonts w:asciiTheme="minorHAnsi" w:hAnsiTheme="minorHAnsi" w:cs="Arial"/>
          <w:color w:val="000000"/>
          <w:sz w:val="22"/>
          <w:szCs w:val="22"/>
        </w:rPr>
        <w:t>3.</w:t>
      </w:r>
      <w:r>
        <w:rPr>
          <w:rFonts w:asciiTheme="minorHAnsi" w:hAnsiTheme="minorHAnsi" w:cs="Arial"/>
          <w:color w:val="000000"/>
          <w:sz w:val="22"/>
          <w:szCs w:val="22"/>
        </w:rPr>
        <w:tab/>
      </w:r>
      <w:r w:rsidRPr="001B4F72">
        <w:rPr>
          <w:rFonts w:asciiTheme="minorHAnsi" w:hAnsiTheme="minorHAnsi" w:cs="Arial"/>
          <w:color w:val="000000"/>
        </w:rPr>
        <w:t>Under section 10 (1) (f) of the Act, certain goods are treated as dutiable property only if they are the subject of an arrangement that includes a dutiable transaction over any dutiable property (other than intellectual property).</w:t>
      </w:r>
      <w:r w:rsidRPr="001B4F72">
        <w:rPr>
          <w:rFonts w:asciiTheme="minorHAnsi" w:hAnsiTheme="minorHAnsi" w:cs="Arial"/>
        </w:rPr>
        <w:t xml:space="preserve">  </w:t>
      </w:r>
    </w:p>
    <w:p w:rsidR="001B4F72" w:rsidRPr="001B4F72" w:rsidRDefault="001B4F72" w:rsidP="001B4F72">
      <w:pPr>
        <w:adjustRightInd w:val="0"/>
        <w:spacing w:before="120" w:after="120"/>
        <w:ind w:left="1560" w:hanging="426"/>
        <w:jc w:val="both"/>
        <w:rPr>
          <w:rFonts w:asciiTheme="minorHAnsi" w:hAnsiTheme="minorHAnsi" w:cs="Arial"/>
          <w:color w:val="000000"/>
        </w:rPr>
      </w:pPr>
      <w:r w:rsidRPr="001B4F72">
        <w:rPr>
          <w:rFonts w:asciiTheme="minorHAnsi" w:hAnsiTheme="minorHAnsi" w:cs="Arial"/>
        </w:rPr>
        <w:t>4.</w:t>
      </w:r>
      <w:r w:rsidRPr="001B4F72">
        <w:rPr>
          <w:rFonts w:asciiTheme="minorHAnsi" w:hAnsiTheme="minorHAnsi" w:cs="Arial"/>
        </w:rPr>
        <w:tab/>
        <w:t xml:space="preserve">Dutiable property includes land, a crown lease, a land use entitlement, or an option to purchase land in the ACT or a Crown lease over land in the ACT - see section 10 of the Act for the complete list.  </w:t>
      </w:r>
      <w:r w:rsidRPr="001B4F72">
        <w:rPr>
          <w:rFonts w:asciiTheme="minorHAnsi" w:hAnsiTheme="minorHAnsi" w:cs="Arial"/>
          <w:color w:val="000000"/>
        </w:rPr>
        <w:t xml:space="preserve">Section 10 (1) (f) also contains categories of goods that are excluded from goods that comprise dutiable property. </w:t>
      </w:r>
    </w:p>
    <w:p w:rsidR="001B4F72" w:rsidRPr="001B4F72" w:rsidRDefault="001B4F72" w:rsidP="001B4F72">
      <w:pPr>
        <w:adjustRightInd w:val="0"/>
        <w:spacing w:before="120"/>
        <w:ind w:left="1560" w:hanging="426"/>
        <w:jc w:val="both"/>
        <w:rPr>
          <w:rFonts w:asciiTheme="minorHAnsi" w:hAnsiTheme="minorHAnsi" w:cs="Arial"/>
          <w:color w:val="000000"/>
        </w:rPr>
      </w:pPr>
      <w:r w:rsidRPr="001B4F72">
        <w:rPr>
          <w:rFonts w:asciiTheme="minorHAnsi" w:hAnsiTheme="minorHAnsi" w:cs="Arial"/>
          <w:color w:val="000000"/>
        </w:rPr>
        <w:t xml:space="preserve">5. </w:t>
      </w:r>
      <w:r w:rsidRPr="001B4F72">
        <w:rPr>
          <w:rFonts w:asciiTheme="minorHAnsi" w:hAnsiTheme="minorHAnsi" w:cs="Arial"/>
          <w:color w:val="000000"/>
        </w:rPr>
        <w:tab/>
        <w:t xml:space="preserve">Under section 25 of the Act, the Commissioner for ACT Revenue (the Commissioner) has discretion to disregard the value of the goods if satisfied that it would not be just and reasonable in the circumstances to charge duty on the dutiable value of all the dutiable property, in a dutiable transaction involving goods and other property. </w:t>
      </w:r>
    </w:p>
    <w:p w:rsidR="001B4F72" w:rsidRPr="001B4F72" w:rsidRDefault="001B4F72" w:rsidP="001B4F72">
      <w:pPr>
        <w:adjustRightInd w:val="0"/>
        <w:spacing w:before="60" w:after="60"/>
        <w:ind w:left="1560" w:hanging="426"/>
        <w:jc w:val="both"/>
        <w:rPr>
          <w:rFonts w:asciiTheme="minorHAnsi" w:hAnsiTheme="minorHAnsi" w:cs="Arial"/>
          <w:b/>
          <w:bCs/>
          <w:color w:val="000000"/>
          <w:u w:val="single"/>
        </w:rPr>
      </w:pPr>
      <w:r w:rsidRPr="001B4F72">
        <w:rPr>
          <w:rFonts w:asciiTheme="minorHAnsi" w:hAnsiTheme="minorHAnsi" w:cs="Arial"/>
          <w:b/>
          <w:bCs/>
          <w:color w:val="000000"/>
          <w:u w:val="single"/>
        </w:rPr>
        <w:t>Dutiable transactions</w:t>
      </w:r>
    </w:p>
    <w:p w:rsidR="001B4F72" w:rsidRPr="001B4F72" w:rsidRDefault="001B4F72" w:rsidP="001B4F72">
      <w:pPr>
        <w:adjustRightInd w:val="0"/>
        <w:spacing w:after="120"/>
        <w:ind w:left="1560" w:hanging="426"/>
        <w:jc w:val="both"/>
        <w:rPr>
          <w:rFonts w:asciiTheme="minorHAnsi" w:hAnsiTheme="minorHAnsi" w:cs="Arial"/>
          <w:color w:val="000000"/>
        </w:rPr>
      </w:pPr>
      <w:r w:rsidRPr="001B4F72">
        <w:rPr>
          <w:rFonts w:asciiTheme="minorHAnsi" w:hAnsiTheme="minorHAnsi" w:cs="Arial"/>
          <w:color w:val="000000"/>
        </w:rPr>
        <w:t>6.</w:t>
      </w:r>
      <w:r w:rsidRPr="001B4F72">
        <w:rPr>
          <w:rFonts w:asciiTheme="minorHAnsi" w:hAnsiTheme="minorHAnsi" w:cs="Arial"/>
          <w:color w:val="000000"/>
        </w:rPr>
        <w:tab/>
        <w:t xml:space="preserve">Dutiable transactions are listed in section 7 (1) of the Act.  It is immaterial whether or not a dutiable transaction is effected by a written instrument or by any other means, including electronic means (section 9).  </w:t>
      </w:r>
    </w:p>
    <w:p w:rsidR="001B4F72" w:rsidRPr="001B4F72" w:rsidRDefault="001B4F72" w:rsidP="001B4F72">
      <w:pPr>
        <w:adjustRightInd w:val="0"/>
        <w:spacing w:before="120" w:after="120"/>
        <w:ind w:left="1560" w:hanging="426"/>
        <w:jc w:val="both"/>
        <w:rPr>
          <w:rFonts w:asciiTheme="minorHAnsi" w:hAnsiTheme="minorHAnsi" w:cs="Arial"/>
        </w:rPr>
      </w:pPr>
      <w:r w:rsidRPr="001B4F72">
        <w:rPr>
          <w:rFonts w:asciiTheme="minorHAnsi" w:hAnsiTheme="minorHAnsi" w:cs="Arial"/>
          <w:color w:val="000000"/>
        </w:rPr>
        <w:t xml:space="preserve">7. </w:t>
      </w:r>
      <w:r w:rsidRPr="001B4F72">
        <w:rPr>
          <w:rFonts w:asciiTheme="minorHAnsi" w:hAnsiTheme="minorHAnsi" w:cs="Arial"/>
          <w:color w:val="000000"/>
        </w:rPr>
        <w:tab/>
        <w:t xml:space="preserve">Consequently, a number of instruments can document a single dutiable transaction.  Even if an instrument separately dealing with goods constitutes a single dutiable transaction, it can be aggregated with other dutiable transactions under section 24 if the transactions together form, evidence, give effect to, or arise from what is substantially one arrangement and the other requirements of that section are met.  Under section 14 of the Act, where a dutiable transaction is not effected by a written instrument, a written statement must be </w:t>
      </w:r>
      <w:r w:rsidRPr="001B4F72">
        <w:rPr>
          <w:rFonts w:asciiTheme="minorHAnsi" w:hAnsiTheme="minorHAnsi" w:cs="Arial"/>
        </w:rPr>
        <w:t>lodged in a form approved by the Commissioner within 90 days of the liability arising.</w:t>
      </w:r>
    </w:p>
    <w:p w:rsidR="00F44A8D" w:rsidRDefault="00F44A8D" w:rsidP="00E81FA3">
      <w:pPr>
        <w:pStyle w:val="Heading2"/>
        <w:ind w:left="1134" w:firstLine="0"/>
        <w:jc w:val="both"/>
      </w:pPr>
    </w:p>
    <w:p w:rsidR="00F44A8D" w:rsidRDefault="00F44A8D" w:rsidP="00AD4741">
      <w:pPr>
        <w:pStyle w:val="Heading2"/>
        <w:ind w:left="1701"/>
        <w:jc w:val="both"/>
        <w:sectPr w:rsidR="00F44A8D" w:rsidSect="00B00642">
          <w:headerReference w:type="default" r:id="rId9"/>
          <w:footerReference w:type="default" r:id="rId10"/>
          <w:footerReference w:type="first" r:id="rId11"/>
          <w:pgSz w:w="11910" w:h="16840" w:code="9"/>
          <w:pgMar w:top="-9" w:right="1137" w:bottom="567" w:left="142" w:header="0" w:footer="318" w:gutter="0"/>
          <w:cols w:space="720"/>
          <w:titlePg/>
          <w:docGrid w:linePitch="326"/>
        </w:sectPr>
      </w:pPr>
    </w:p>
    <w:p w:rsidR="001B4F72" w:rsidRPr="001B4F72" w:rsidRDefault="001B4F72" w:rsidP="001B4F72">
      <w:pPr>
        <w:adjustRightInd w:val="0"/>
        <w:spacing w:before="60" w:after="60"/>
        <w:ind w:left="1276" w:hanging="425"/>
        <w:jc w:val="both"/>
        <w:rPr>
          <w:rFonts w:asciiTheme="minorHAnsi" w:hAnsiTheme="minorHAnsi" w:cs="Arial"/>
          <w:color w:val="000000"/>
        </w:rPr>
      </w:pPr>
      <w:r w:rsidRPr="001B4F72">
        <w:rPr>
          <w:rFonts w:asciiTheme="minorHAnsi" w:hAnsiTheme="minorHAnsi" w:cs="Arial"/>
          <w:color w:val="000000"/>
        </w:rPr>
        <w:lastRenderedPageBreak/>
        <w:t>8.</w:t>
      </w:r>
      <w:r w:rsidRPr="001B4F72">
        <w:rPr>
          <w:rFonts w:asciiTheme="minorHAnsi" w:hAnsiTheme="minorHAnsi" w:cs="Arial"/>
          <w:color w:val="000000"/>
        </w:rPr>
        <w:tab/>
        <w:t xml:space="preserve">Where a dutiable transaction includes goods which are exempt under section 10 (1) (f), it is not necessary for a claim for exemption to be made, nor is it necessary for an apportionment of consideration to be made.  However, if the parties choose to use an apportionment (whether or not the apportionment is set out in any instrument which effects the transaction), this will be examined on its merits, including having </w:t>
      </w:r>
      <w:proofErr w:type="gramStart"/>
      <w:r w:rsidRPr="001B4F72">
        <w:rPr>
          <w:rFonts w:asciiTheme="minorHAnsi" w:hAnsiTheme="minorHAnsi" w:cs="Arial"/>
          <w:color w:val="000000"/>
        </w:rPr>
        <w:t>regard</w:t>
      </w:r>
      <w:proofErr w:type="gramEnd"/>
      <w:r w:rsidRPr="001B4F72">
        <w:rPr>
          <w:rFonts w:asciiTheme="minorHAnsi" w:hAnsiTheme="minorHAnsi" w:cs="Arial"/>
          <w:color w:val="000000"/>
        </w:rPr>
        <w:t xml:space="preserve"> to whether the Commissioner is satisfied that the parties have dealt with each other at arm's length.</w:t>
      </w:r>
    </w:p>
    <w:p w:rsidR="001B4F72" w:rsidRPr="001B4F72" w:rsidRDefault="001B4F72" w:rsidP="001B4F72">
      <w:pPr>
        <w:adjustRightInd w:val="0"/>
        <w:spacing w:after="60"/>
        <w:ind w:left="1276" w:hanging="425"/>
        <w:jc w:val="both"/>
        <w:rPr>
          <w:rFonts w:asciiTheme="minorHAnsi" w:hAnsiTheme="minorHAnsi" w:cs="Arial"/>
          <w:b/>
          <w:bCs/>
          <w:color w:val="000000"/>
          <w:u w:val="single"/>
        </w:rPr>
      </w:pPr>
      <w:r w:rsidRPr="001B4F72">
        <w:rPr>
          <w:rFonts w:asciiTheme="minorHAnsi" w:hAnsiTheme="minorHAnsi" w:cs="Arial"/>
          <w:b/>
          <w:bCs/>
          <w:color w:val="000000"/>
          <w:u w:val="single"/>
        </w:rPr>
        <w:t>Goods</w:t>
      </w:r>
    </w:p>
    <w:p w:rsidR="001B4F72" w:rsidRPr="001B4F72" w:rsidRDefault="001B4F72" w:rsidP="001B4F72">
      <w:pPr>
        <w:adjustRightInd w:val="0"/>
        <w:spacing w:before="60" w:after="60"/>
        <w:ind w:left="1276" w:hanging="425"/>
        <w:jc w:val="both"/>
        <w:rPr>
          <w:rFonts w:asciiTheme="minorHAnsi" w:hAnsiTheme="minorHAnsi" w:cs="Arial"/>
          <w:color w:val="000000"/>
        </w:rPr>
      </w:pPr>
      <w:r w:rsidRPr="001B4F72">
        <w:rPr>
          <w:rFonts w:asciiTheme="minorHAnsi" w:hAnsiTheme="minorHAnsi" w:cs="Arial"/>
          <w:color w:val="000000"/>
        </w:rPr>
        <w:t xml:space="preserve">9. </w:t>
      </w:r>
      <w:r w:rsidRPr="001B4F72">
        <w:rPr>
          <w:rFonts w:asciiTheme="minorHAnsi" w:hAnsiTheme="minorHAnsi" w:cs="Arial"/>
          <w:color w:val="000000"/>
        </w:rPr>
        <w:tab/>
        <w:t xml:space="preserve">The term "goods" is not defined in Chapter 2 of the Act but is often taken to include all personal property other than real property interests, things in action, and money.  Some statutes define "goods" to include fixtures severable from the realty.  However, in the present context, “goods” do not include fixtures.  As fixtures are not goods, they are dutiable as part of the land. </w:t>
      </w:r>
    </w:p>
    <w:p w:rsidR="001B4F72" w:rsidRPr="001B4F72" w:rsidRDefault="001B4F72" w:rsidP="001B4F72">
      <w:pPr>
        <w:adjustRightInd w:val="0"/>
        <w:spacing w:before="60" w:after="60"/>
        <w:ind w:left="1276" w:hanging="425"/>
        <w:jc w:val="both"/>
        <w:rPr>
          <w:rFonts w:asciiTheme="minorHAnsi" w:hAnsiTheme="minorHAnsi" w:cs="Arial"/>
          <w:color w:val="000000"/>
        </w:rPr>
      </w:pPr>
      <w:r w:rsidRPr="001B4F72">
        <w:rPr>
          <w:rFonts w:asciiTheme="minorHAnsi" w:hAnsiTheme="minorHAnsi" w:cs="Arial"/>
          <w:color w:val="000000"/>
        </w:rPr>
        <w:t>10.</w:t>
      </w:r>
      <w:r w:rsidRPr="001B4F72">
        <w:rPr>
          <w:rFonts w:asciiTheme="minorHAnsi" w:hAnsiTheme="minorHAnsi" w:cs="Arial"/>
          <w:color w:val="000000"/>
        </w:rPr>
        <w:tab/>
        <w:t>Section 10 (1) (f) of the Act excludes from duty (among other stated exemptions):</w:t>
      </w:r>
    </w:p>
    <w:p w:rsidR="001B4F72" w:rsidRPr="001B4F72" w:rsidRDefault="001B4F72" w:rsidP="001B4F72">
      <w:pPr>
        <w:tabs>
          <w:tab w:val="left" w:pos="2127"/>
        </w:tabs>
        <w:adjustRightInd w:val="0"/>
        <w:spacing w:before="60" w:after="60"/>
        <w:ind w:left="2127" w:hanging="425"/>
        <w:jc w:val="both"/>
        <w:rPr>
          <w:rFonts w:asciiTheme="minorHAnsi" w:hAnsiTheme="minorHAnsi" w:cs="Arial"/>
          <w:color w:val="000000"/>
        </w:rPr>
      </w:pPr>
      <w:r w:rsidRPr="001B4F72">
        <w:rPr>
          <w:rFonts w:asciiTheme="minorHAnsi" w:hAnsiTheme="minorHAnsi" w:cs="Arial"/>
          <w:color w:val="000000"/>
        </w:rPr>
        <w:t>(a)</w:t>
      </w:r>
      <w:r w:rsidRPr="001B4F72">
        <w:rPr>
          <w:rFonts w:asciiTheme="minorHAnsi" w:hAnsiTheme="minorHAnsi" w:cs="Arial"/>
          <w:color w:val="000000"/>
        </w:rPr>
        <w:tab/>
      </w:r>
      <w:proofErr w:type="gramStart"/>
      <w:r w:rsidRPr="001B4F72">
        <w:rPr>
          <w:rFonts w:asciiTheme="minorHAnsi" w:hAnsiTheme="minorHAnsi" w:cs="Arial"/>
          <w:color w:val="000000"/>
        </w:rPr>
        <w:t>goods</w:t>
      </w:r>
      <w:proofErr w:type="gramEnd"/>
      <w:r w:rsidRPr="001B4F72">
        <w:rPr>
          <w:rFonts w:asciiTheme="minorHAnsi" w:hAnsiTheme="minorHAnsi" w:cs="Arial"/>
          <w:color w:val="000000"/>
        </w:rPr>
        <w:t xml:space="preserve"> that are stock-in-trade;</w:t>
      </w:r>
    </w:p>
    <w:p w:rsidR="001B4F72" w:rsidRPr="001B4F72" w:rsidRDefault="001B4F72" w:rsidP="001B4F72">
      <w:pPr>
        <w:tabs>
          <w:tab w:val="left" w:pos="2127"/>
        </w:tabs>
        <w:adjustRightInd w:val="0"/>
        <w:spacing w:before="60" w:after="60"/>
        <w:ind w:left="2127" w:hanging="425"/>
        <w:jc w:val="both"/>
        <w:rPr>
          <w:rFonts w:asciiTheme="minorHAnsi" w:hAnsiTheme="minorHAnsi" w:cs="Arial"/>
          <w:color w:val="000000"/>
        </w:rPr>
      </w:pPr>
      <w:r w:rsidRPr="001B4F72">
        <w:rPr>
          <w:rFonts w:asciiTheme="minorHAnsi" w:hAnsiTheme="minorHAnsi" w:cs="Arial"/>
          <w:color w:val="000000"/>
        </w:rPr>
        <w:t>(b)</w:t>
      </w:r>
      <w:r w:rsidRPr="001B4F72">
        <w:rPr>
          <w:rFonts w:asciiTheme="minorHAnsi" w:hAnsiTheme="minorHAnsi" w:cs="Arial"/>
          <w:color w:val="000000"/>
        </w:rPr>
        <w:tab/>
      </w:r>
      <w:proofErr w:type="gramStart"/>
      <w:r w:rsidRPr="001B4F72">
        <w:rPr>
          <w:rFonts w:asciiTheme="minorHAnsi" w:hAnsiTheme="minorHAnsi" w:cs="Arial"/>
          <w:color w:val="000000"/>
        </w:rPr>
        <w:t>materials</w:t>
      </w:r>
      <w:proofErr w:type="gramEnd"/>
      <w:r w:rsidRPr="001B4F72">
        <w:rPr>
          <w:rFonts w:asciiTheme="minorHAnsi" w:hAnsiTheme="minorHAnsi" w:cs="Arial"/>
          <w:color w:val="000000"/>
        </w:rPr>
        <w:t xml:space="preserve"> held for use in manufacture;  and</w:t>
      </w:r>
    </w:p>
    <w:p w:rsidR="001B4F72" w:rsidRPr="001B4F72" w:rsidRDefault="001B4F72" w:rsidP="001B4F72">
      <w:pPr>
        <w:tabs>
          <w:tab w:val="left" w:pos="2127"/>
        </w:tabs>
        <w:adjustRightInd w:val="0"/>
        <w:spacing w:before="60" w:after="60"/>
        <w:ind w:left="2127" w:hanging="425"/>
        <w:jc w:val="both"/>
        <w:rPr>
          <w:rFonts w:asciiTheme="minorHAnsi" w:hAnsiTheme="minorHAnsi" w:cs="Arial"/>
          <w:color w:val="000000"/>
        </w:rPr>
      </w:pPr>
      <w:r w:rsidRPr="001B4F72">
        <w:rPr>
          <w:rFonts w:asciiTheme="minorHAnsi" w:hAnsiTheme="minorHAnsi" w:cs="Arial"/>
          <w:color w:val="000000"/>
        </w:rPr>
        <w:t>(c)</w:t>
      </w:r>
      <w:r w:rsidRPr="001B4F72">
        <w:rPr>
          <w:rFonts w:asciiTheme="minorHAnsi" w:hAnsiTheme="minorHAnsi" w:cs="Arial"/>
          <w:color w:val="000000"/>
        </w:rPr>
        <w:tab/>
      </w:r>
      <w:proofErr w:type="gramStart"/>
      <w:r w:rsidRPr="001B4F72">
        <w:rPr>
          <w:rFonts w:asciiTheme="minorHAnsi" w:hAnsiTheme="minorHAnsi" w:cs="Arial"/>
          <w:color w:val="000000"/>
        </w:rPr>
        <w:t>goods</w:t>
      </w:r>
      <w:proofErr w:type="gramEnd"/>
      <w:r w:rsidRPr="001B4F72">
        <w:rPr>
          <w:rFonts w:asciiTheme="minorHAnsi" w:hAnsiTheme="minorHAnsi" w:cs="Arial"/>
          <w:color w:val="000000"/>
        </w:rPr>
        <w:t xml:space="preserve"> under manufacture.</w:t>
      </w:r>
    </w:p>
    <w:p w:rsidR="001B4F72" w:rsidRPr="001B4F72" w:rsidRDefault="001B4F72" w:rsidP="001B4F72">
      <w:pPr>
        <w:adjustRightInd w:val="0"/>
        <w:spacing w:before="60" w:after="60"/>
        <w:ind w:left="1276" w:hanging="425"/>
        <w:jc w:val="both"/>
        <w:rPr>
          <w:rFonts w:asciiTheme="minorHAnsi" w:hAnsiTheme="minorHAnsi" w:cs="Arial"/>
          <w:color w:val="000000"/>
        </w:rPr>
      </w:pPr>
      <w:r w:rsidRPr="001B4F72">
        <w:rPr>
          <w:rFonts w:asciiTheme="minorHAnsi" w:hAnsiTheme="minorHAnsi" w:cs="Arial"/>
          <w:color w:val="000000"/>
        </w:rPr>
        <w:t>11.</w:t>
      </w:r>
      <w:r w:rsidRPr="001B4F72">
        <w:rPr>
          <w:rFonts w:asciiTheme="minorHAnsi" w:hAnsiTheme="minorHAnsi" w:cs="Arial"/>
          <w:color w:val="000000"/>
        </w:rPr>
        <w:tab/>
        <w:t>Goods will be accepted as stock-in-trade if they are a commodity of the business i.e. if they are the very items to be sold or hired to customers of the business.  Where the business is or includes the manufacture of goods, the exemption extends to materials and goods at any stage during the process of manufacture.</w:t>
      </w:r>
    </w:p>
    <w:p w:rsidR="001B4F72" w:rsidRPr="001B4F72" w:rsidRDefault="001B4F72" w:rsidP="001B4F72">
      <w:pPr>
        <w:adjustRightInd w:val="0"/>
        <w:spacing w:before="60" w:after="60"/>
        <w:ind w:left="1276" w:hanging="425"/>
        <w:jc w:val="both"/>
        <w:rPr>
          <w:rFonts w:asciiTheme="minorHAnsi" w:hAnsiTheme="minorHAnsi" w:cs="Arial"/>
          <w:color w:val="000000"/>
        </w:rPr>
      </w:pPr>
      <w:r w:rsidRPr="001B4F72">
        <w:rPr>
          <w:rFonts w:asciiTheme="minorHAnsi" w:hAnsiTheme="minorHAnsi" w:cs="Arial"/>
          <w:color w:val="000000"/>
        </w:rPr>
        <w:t>12.</w:t>
      </w:r>
      <w:r w:rsidRPr="001B4F72">
        <w:rPr>
          <w:rFonts w:asciiTheme="minorHAnsi" w:hAnsiTheme="minorHAnsi" w:cs="Arial"/>
          <w:color w:val="000000"/>
        </w:rPr>
        <w:tab/>
        <w:t>Transfers and transactions relating to goodwill, intellectual property and a statutory licence or permission ceased as being liable to duty where executed after 30 June 2006.</w:t>
      </w:r>
    </w:p>
    <w:p w:rsidR="001B4F72" w:rsidRPr="001B4F72" w:rsidRDefault="001B4F72" w:rsidP="001B4F72">
      <w:pPr>
        <w:adjustRightInd w:val="0"/>
        <w:spacing w:before="60" w:after="60"/>
        <w:ind w:left="1276" w:hanging="425"/>
        <w:jc w:val="both"/>
        <w:rPr>
          <w:rFonts w:asciiTheme="minorHAnsi" w:hAnsiTheme="minorHAnsi" w:cs="Arial"/>
          <w:color w:val="000000"/>
        </w:rPr>
      </w:pPr>
      <w:r w:rsidRPr="001B4F72">
        <w:rPr>
          <w:rFonts w:asciiTheme="minorHAnsi" w:hAnsiTheme="minorHAnsi" w:cs="Arial"/>
          <w:color w:val="000000"/>
        </w:rPr>
        <w:t>13.</w:t>
      </w:r>
      <w:r w:rsidRPr="001B4F72">
        <w:rPr>
          <w:rFonts w:asciiTheme="minorHAnsi" w:hAnsiTheme="minorHAnsi" w:cs="Arial"/>
          <w:color w:val="000000"/>
        </w:rPr>
        <w:tab/>
        <w:t>Section 10 (1) (f) of the Act also excludes from duty goods held or used in connection with land used for primary production; and livestock.</w:t>
      </w:r>
    </w:p>
    <w:p w:rsidR="001B4F72" w:rsidRPr="001B4F72" w:rsidRDefault="001B4F72" w:rsidP="001B4F72">
      <w:pPr>
        <w:adjustRightInd w:val="0"/>
        <w:spacing w:before="60" w:after="60"/>
        <w:ind w:left="1276" w:hanging="425"/>
        <w:jc w:val="both"/>
        <w:rPr>
          <w:rFonts w:asciiTheme="minorHAnsi" w:hAnsiTheme="minorHAnsi" w:cs="Arial"/>
          <w:color w:val="000000"/>
        </w:rPr>
      </w:pPr>
      <w:r w:rsidRPr="001B4F72">
        <w:rPr>
          <w:rFonts w:asciiTheme="minorHAnsi" w:hAnsiTheme="minorHAnsi" w:cs="Arial"/>
          <w:color w:val="000000"/>
        </w:rPr>
        <w:t>14.</w:t>
      </w:r>
      <w:r w:rsidRPr="001B4F72">
        <w:rPr>
          <w:rFonts w:asciiTheme="minorHAnsi" w:hAnsiTheme="minorHAnsi" w:cs="Arial"/>
          <w:color w:val="000000"/>
        </w:rPr>
        <w:tab/>
        <w:t xml:space="preserve">It is accepted that annual or seasonal growing crops, such as wheat, oats and </w:t>
      </w:r>
      <w:proofErr w:type="spellStart"/>
      <w:r w:rsidRPr="001B4F72">
        <w:rPr>
          <w:rFonts w:asciiTheme="minorHAnsi" w:hAnsiTheme="minorHAnsi" w:cs="Arial"/>
          <w:color w:val="000000"/>
        </w:rPr>
        <w:t>lucerne</w:t>
      </w:r>
      <w:proofErr w:type="spellEnd"/>
      <w:r w:rsidRPr="001B4F72">
        <w:rPr>
          <w:rFonts w:asciiTheme="minorHAnsi" w:hAnsiTheme="minorHAnsi" w:cs="Arial"/>
          <w:color w:val="000000"/>
        </w:rPr>
        <w:t xml:space="preserve"> (</w:t>
      </w:r>
      <w:proofErr w:type="spellStart"/>
      <w:r w:rsidRPr="001B4F72">
        <w:rPr>
          <w:rFonts w:asciiTheme="minorHAnsi" w:hAnsiTheme="minorHAnsi" w:cs="Arial"/>
          <w:i/>
          <w:iCs/>
          <w:color w:val="000000"/>
        </w:rPr>
        <w:t>fructus</w:t>
      </w:r>
      <w:proofErr w:type="spellEnd"/>
      <w:r w:rsidRPr="001B4F72">
        <w:rPr>
          <w:rFonts w:asciiTheme="minorHAnsi" w:hAnsiTheme="minorHAnsi" w:cs="Arial"/>
          <w:i/>
          <w:iCs/>
          <w:color w:val="000000"/>
        </w:rPr>
        <w:t xml:space="preserve"> </w:t>
      </w:r>
      <w:proofErr w:type="spellStart"/>
      <w:r w:rsidRPr="001B4F72">
        <w:rPr>
          <w:rFonts w:asciiTheme="minorHAnsi" w:hAnsiTheme="minorHAnsi" w:cs="Arial"/>
          <w:i/>
          <w:iCs/>
          <w:color w:val="000000"/>
        </w:rPr>
        <w:t>industrialis</w:t>
      </w:r>
      <w:proofErr w:type="spellEnd"/>
      <w:r w:rsidRPr="001B4F72">
        <w:rPr>
          <w:rFonts w:asciiTheme="minorHAnsi" w:hAnsiTheme="minorHAnsi" w:cs="Arial"/>
          <w:color w:val="000000"/>
        </w:rPr>
        <w:t>) are excluded goods.  However, fruit trees, grape vines, etc (</w:t>
      </w:r>
      <w:proofErr w:type="spellStart"/>
      <w:r w:rsidRPr="001B4F72">
        <w:rPr>
          <w:rFonts w:asciiTheme="minorHAnsi" w:hAnsiTheme="minorHAnsi" w:cs="Arial"/>
          <w:i/>
          <w:iCs/>
          <w:color w:val="000000"/>
        </w:rPr>
        <w:t>fructus</w:t>
      </w:r>
      <w:proofErr w:type="spellEnd"/>
      <w:r w:rsidRPr="001B4F72">
        <w:rPr>
          <w:rFonts w:asciiTheme="minorHAnsi" w:hAnsiTheme="minorHAnsi" w:cs="Arial"/>
          <w:i/>
          <w:iCs/>
          <w:color w:val="000000"/>
        </w:rPr>
        <w:t xml:space="preserve"> </w:t>
      </w:r>
      <w:proofErr w:type="spellStart"/>
      <w:r w:rsidRPr="001B4F72">
        <w:rPr>
          <w:rFonts w:asciiTheme="minorHAnsi" w:hAnsiTheme="minorHAnsi" w:cs="Arial"/>
          <w:i/>
          <w:iCs/>
          <w:color w:val="000000"/>
        </w:rPr>
        <w:t>naturalis</w:t>
      </w:r>
      <w:proofErr w:type="spellEnd"/>
      <w:r w:rsidRPr="001B4F72">
        <w:rPr>
          <w:rFonts w:asciiTheme="minorHAnsi" w:hAnsiTheme="minorHAnsi" w:cs="Arial"/>
          <w:color w:val="000000"/>
        </w:rPr>
        <w:t xml:space="preserve">) </w:t>
      </w:r>
      <w:proofErr w:type="gramStart"/>
      <w:r w:rsidRPr="001B4F72">
        <w:rPr>
          <w:rFonts w:asciiTheme="minorHAnsi" w:hAnsiTheme="minorHAnsi" w:cs="Arial"/>
          <w:color w:val="000000"/>
        </w:rPr>
        <w:t>are</w:t>
      </w:r>
      <w:proofErr w:type="gramEnd"/>
      <w:r w:rsidRPr="001B4F72">
        <w:rPr>
          <w:rFonts w:asciiTheme="minorHAnsi" w:hAnsiTheme="minorHAnsi" w:cs="Arial"/>
          <w:color w:val="000000"/>
        </w:rPr>
        <w:t xml:space="preserve"> considered to be fixtures.  As such, they will be assessed on the same basis as land.</w:t>
      </w:r>
    </w:p>
    <w:p w:rsidR="001B4F72" w:rsidRPr="001B4F72" w:rsidRDefault="001B4F72" w:rsidP="001B4F72">
      <w:pPr>
        <w:adjustRightInd w:val="0"/>
        <w:spacing w:before="60" w:after="60"/>
        <w:ind w:left="1276" w:hanging="425"/>
        <w:jc w:val="both"/>
        <w:rPr>
          <w:rFonts w:asciiTheme="minorHAnsi" w:hAnsiTheme="minorHAnsi" w:cs="Arial"/>
          <w:color w:val="000000"/>
        </w:rPr>
      </w:pPr>
      <w:r w:rsidRPr="001B4F72">
        <w:rPr>
          <w:rFonts w:asciiTheme="minorHAnsi" w:hAnsiTheme="minorHAnsi" w:cs="Arial"/>
          <w:color w:val="000000"/>
        </w:rPr>
        <w:t>15.</w:t>
      </w:r>
      <w:r w:rsidRPr="001B4F72">
        <w:rPr>
          <w:rFonts w:asciiTheme="minorHAnsi" w:hAnsiTheme="minorHAnsi" w:cs="Arial"/>
          <w:color w:val="000000"/>
        </w:rPr>
        <w:tab/>
        <w:t>Section 10 (1) (f) of the Act also excludes from duty under Chapter 2:</w:t>
      </w:r>
    </w:p>
    <w:p w:rsidR="001B4F72" w:rsidRPr="001B4F72" w:rsidRDefault="001B4F72" w:rsidP="001B4F72">
      <w:pPr>
        <w:tabs>
          <w:tab w:val="left" w:pos="2127"/>
        </w:tabs>
        <w:adjustRightInd w:val="0"/>
        <w:spacing w:before="60" w:after="60"/>
        <w:ind w:left="2127" w:hanging="425"/>
        <w:jc w:val="both"/>
        <w:rPr>
          <w:rFonts w:asciiTheme="minorHAnsi" w:hAnsiTheme="minorHAnsi" w:cs="Arial"/>
          <w:b/>
          <w:color w:val="000000"/>
        </w:rPr>
      </w:pPr>
      <w:r w:rsidRPr="001B4F72">
        <w:rPr>
          <w:rFonts w:asciiTheme="minorHAnsi" w:hAnsiTheme="minorHAnsi" w:cs="Arial"/>
          <w:color w:val="000000"/>
        </w:rPr>
        <w:t>(a)</w:t>
      </w:r>
      <w:r w:rsidRPr="001B4F72">
        <w:rPr>
          <w:rFonts w:asciiTheme="minorHAnsi" w:hAnsiTheme="minorHAnsi" w:cs="Arial"/>
          <w:color w:val="000000"/>
        </w:rPr>
        <w:tab/>
      </w:r>
      <w:proofErr w:type="gramStart"/>
      <w:r w:rsidRPr="001B4F72">
        <w:rPr>
          <w:rFonts w:asciiTheme="minorHAnsi" w:hAnsiTheme="minorHAnsi" w:cs="Arial"/>
          <w:color w:val="000000"/>
        </w:rPr>
        <w:t>a</w:t>
      </w:r>
      <w:proofErr w:type="gramEnd"/>
      <w:r w:rsidRPr="001B4F72">
        <w:rPr>
          <w:rFonts w:asciiTheme="minorHAnsi" w:hAnsiTheme="minorHAnsi" w:cs="Arial"/>
          <w:color w:val="000000"/>
        </w:rPr>
        <w:t xml:space="preserve"> registered motor vehicle; and </w:t>
      </w:r>
    </w:p>
    <w:p w:rsidR="001B4F72" w:rsidRPr="001B4F72" w:rsidRDefault="001B4F72" w:rsidP="001B4F72">
      <w:pPr>
        <w:tabs>
          <w:tab w:val="left" w:pos="2127"/>
        </w:tabs>
        <w:adjustRightInd w:val="0"/>
        <w:spacing w:before="60" w:after="60"/>
        <w:ind w:left="2127" w:hanging="425"/>
        <w:jc w:val="both"/>
        <w:rPr>
          <w:rFonts w:asciiTheme="minorHAnsi" w:hAnsiTheme="minorHAnsi" w:cs="Arial"/>
          <w:color w:val="000000"/>
        </w:rPr>
      </w:pPr>
      <w:r w:rsidRPr="001B4F72">
        <w:rPr>
          <w:rFonts w:asciiTheme="minorHAnsi" w:hAnsiTheme="minorHAnsi" w:cs="Arial"/>
          <w:color w:val="000000"/>
        </w:rPr>
        <w:t>(b)</w:t>
      </w:r>
      <w:r w:rsidRPr="001B4F72">
        <w:rPr>
          <w:rFonts w:asciiTheme="minorHAnsi" w:hAnsiTheme="minorHAnsi" w:cs="Arial"/>
          <w:color w:val="000000"/>
        </w:rPr>
        <w:tab/>
      </w:r>
      <w:proofErr w:type="gramStart"/>
      <w:r w:rsidRPr="001B4F72">
        <w:rPr>
          <w:rFonts w:asciiTheme="minorHAnsi" w:hAnsiTheme="minorHAnsi" w:cs="Arial"/>
          <w:color w:val="000000"/>
        </w:rPr>
        <w:t>a</w:t>
      </w:r>
      <w:proofErr w:type="gramEnd"/>
      <w:r w:rsidRPr="001B4F72">
        <w:rPr>
          <w:rFonts w:asciiTheme="minorHAnsi" w:hAnsiTheme="minorHAnsi" w:cs="Arial"/>
          <w:color w:val="000000"/>
        </w:rPr>
        <w:t xml:space="preserve"> ship or a vessel.</w:t>
      </w:r>
    </w:p>
    <w:p w:rsidR="001B4F72" w:rsidRPr="001B4F72" w:rsidRDefault="001B4F72" w:rsidP="001B4F72">
      <w:pPr>
        <w:tabs>
          <w:tab w:val="left" w:pos="2127"/>
        </w:tabs>
        <w:adjustRightInd w:val="0"/>
        <w:spacing w:before="60" w:after="60"/>
        <w:ind w:left="2127" w:hanging="425"/>
        <w:jc w:val="both"/>
        <w:rPr>
          <w:rFonts w:asciiTheme="minorHAnsi" w:hAnsiTheme="minorHAnsi" w:cs="Arial"/>
          <w:color w:val="000000"/>
        </w:rPr>
      </w:pPr>
      <w:r w:rsidRPr="001B4F72">
        <w:rPr>
          <w:rFonts w:asciiTheme="minorHAnsi" w:hAnsiTheme="minorHAnsi" w:cs="Arial"/>
          <w:color w:val="000000"/>
        </w:rPr>
        <w:t>16.</w:t>
      </w:r>
      <w:r w:rsidRPr="001B4F72">
        <w:rPr>
          <w:rFonts w:asciiTheme="minorHAnsi" w:hAnsiTheme="minorHAnsi" w:cs="Arial"/>
          <w:color w:val="000000"/>
        </w:rPr>
        <w:tab/>
        <w:t>Duty on motor vehicle registration is imposed under Chapter 9 of the Act.</w:t>
      </w:r>
    </w:p>
    <w:p w:rsidR="001B4F72" w:rsidRPr="001B4F72" w:rsidRDefault="001B4F72" w:rsidP="001B4F72">
      <w:pPr>
        <w:adjustRightInd w:val="0"/>
        <w:spacing w:before="60" w:after="60"/>
        <w:ind w:left="1276" w:hanging="425"/>
        <w:jc w:val="both"/>
        <w:rPr>
          <w:rFonts w:asciiTheme="minorHAnsi" w:hAnsiTheme="minorHAnsi" w:cs="Arial"/>
          <w:b/>
          <w:bCs/>
          <w:color w:val="000000"/>
          <w:u w:val="single"/>
        </w:rPr>
      </w:pPr>
      <w:r w:rsidRPr="001B4F72">
        <w:rPr>
          <w:rFonts w:asciiTheme="minorHAnsi" w:hAnsiTheme="minorHAnsi" w:cs="Arial"/>
          <w:b/>
          <w:bCs/>
          <w:color w:val="000000"/>
          <w:u w:val="single"/>
        </w:rPr>
        <w:t>Commissioner’s discretion</w:t>
      </w:r>
    </w:p>
    <w:p w:rsidR="001B4F72" w:rsidRPr="001B4F72" w:rsidRDefault="001B4F72" w:rsidP="001B4F72">
      <w:pPr>
        <w:adjustRightInd w:val="0"/>
        <w:spacing w:before="60" w:after="120"/>
        <w:ind w:left="1276" w:hanging="425"/>
        <w:jc w:val="both"/>
        <w:rPr>
          <w:rFonts w:asciiTheme="minorHAnsi" w:hAnsiTheme="minorHAnsi" w:cs="Arial"/>
          <w:color w:val="000000"/>
        </w:rPr>
      </w:pPr>
      <w:r w:rsidRPr="001B4F72">
        <w:rPr>
          <w:rFonts w:asciiTheme="minorHAnsi" w:hAnsiTheme="minorHAnsi" w:cs="Arial"/>
          <w:color w:val="000000"/>
        </w:rPr>
        <w:t xml:space="preserve">17. </w:t>
      </w:r>
      <w:r w:rsidRPr="001B4F72">
        <w:rPr>
          <w:rFonts w:asciiTheme="minorHAnsi" w:hAnsiTheme="minorHAnsi" w:cs="Arial"/>
          <w:color w:val="000000"/>
        </w:rPr>
        <w:tab/>
        <w:t xml:space="preserve">An application for the Commissioner to consider exercising his or her discretion must be made in writing at the time the written instrument or written statement is lodged for assessment.  The application must set out all the relevant facts and indicate why it would not be just and reasonable in the circumstances to charge duty on the goods in question. </w:t>
      </w:r>
    </w:p>
    <w:p w:rsidR="001B4F72" w:rsidRPr="001B4F72" w:rsidRDefault="001B4F72" w:rsidP="001B4F72">
      <w:pPr>
        <w:adjustRightInd w:val="0"/>
        <w:spacing w:before="120" w:after="120"/>
        <w:ind w:left="1276" w:hanging="425"/>
        <w:jc w:val="both"/>
        <w:rPr>
          <w:rFonts w:asciiTheme="minorHAnsi" w:hAnsiTheme="minorHAnsi" w:cs="Arial"/>
          <w:color w:val="000000"/>
        </w:rPr>
      </w:pPr>
      <w:r w:rsidRPr="001B4F72">
        <w:rPr>
          <w:rFonts w:asciiTheme="minorHAnsi" w:hAnsiTheme="minorHAnsi" w:cs="Arial"/>
          <w:color w:val="000000"/>
        </w:rPr>
        <w:t xml:space="preserve">18. </w:t>
      </w:r>
      <w:r w:rsidRPr="001B4F72">
        <w:rPr>
          <w:rFonts w:asciiTheme="minorHAnsi" w:hAnsiTheme="minorHAnsi" w:cs="Arial"/>
          <w:color w:val="000000"/>
        </w:rPr>
        <w:tab/>
        <w:t>The Commissioner may, in exercising his or her discretion, disregard the value of some of the goods but include the value of other goods in determining the dutiable value.</w:t>
      </w:r>
    </w:p>
    <w:p w:rsidR="001B4F72" w:rsidRPr="001B4F72" w:rsidRDefault="001B4F72" w:rsidP="001B4F72">
      <w:pPr>
        <w:ind w:left="1276" w:hanging="425"/>
        <w:jc w:val="both"/>
        <w:rPr>
          <w:rFonts w:asciiTheme="minorHAnsi" w:hAnsiTheme="minorHAnsi" w:cs="Arial"/>
          <w:color w:val="000000"/>
        </w:rPr>
      </w:pPr>
      <w:r w:rsidRPr="001B4F72">
        <w:rPr>
          <w:rFonts w:asciiTheme="minorHAnsi" w:hAnsiTheme="minorHAnsi" w:cs="Arial"/>
          <w:color w:val="000000"/>
        </w:rPr>
        <w:t xml:space="preserve">19. </w:t>
      </w:r>
      <w:r w:rsidRPr="001B4F72">
        <w:rPr>
          <w:rFonts w:asciiTheme="minorHAnsi" w:hAnsiTheme="minorHAnsi" w:cs="Arial"/>
          <w:color w:val="000000"/>
        </w:rPr>
        <w:tab/>
        <w:t xml:space="preserve">In cases where the Commissioner’s discretion is exercised, ad valorem duty will still be payable on the part of the dutiable transaction involving other dutiable property. </w:t>
      </w:r>
    </w:p>
    <w:p w:rsidR="001B4F72" w:rsidRPr="001B4F72" w:rsidRDefault="001B4F72" w:rsidP="001B4F72">
      <w:pPr>
        <w:adjustRightInd w:val="0"/>
        <w:ind w:left="1276" w:hanging="425"/>
        <w:jc w:val="both"/>
        <w:rPr>
          <w:rFonts w:asciiTheme="minorHAnsi" w:hAnsiTheme="minorHAnsi" w:cs="Arial"/>
          <w:bCs/>
          <w:lang w:eastAsia="en-US"/>
        </w:rPr>
      </w:pPr>
    </w:p>
    <w:p w:rsidR="001B4F72" w:rsidRPr="001B4F72" w:rsidRDefault="001B4F72" w:rsidP="001B4F72">
      <w:pPr>
        <w:adjustRightInd w:val="0"/>
        <w:ind w:left="1276" w:hanging="425"/>
        <w:jc w:val="both"/>
        <w:rPr>
          <w:rFonts w:asciiTheme="minorHAnsi" w:hAnsiTheme="minorHAnsi" w:cs="Arial"/>
          <w:bCs/>
        </w:rPr>
      </w:pPr>
      <w:r w:rsidRPr="001B4F72">
        <w:rPr>
          <w:rFonts w:asciiTheme="minorHAnsi" w:hAnsiTheme="minorHAnsi" w:cs="Arial"/>
          <w:bCs/>
        </w:rPr>
        <w:t>Signed</w:t>
      </w:r>
    </w:p>
    <w:p w:rsidR="001B4F72" w:rsidRPr="001B4F72" w:rsidRDefault="001B4F72" w:rsidP="001B4F72">
      <w:pPr>
        <w:adjustRightInd w:val="0"/>
        <w:ind w:left="1276" w:hanging="425"/>
        <w:jc w:val="both"/>
        <w:rPr>
          <w:rFonts w:asciiTheme="minorHAnsi" w:hAnsiTheme="minorHAnsi" w:cs="Arial"/>
          <w:bCs/>
        </w:rPr>
      </w:pPr>
    </w:p>
    <w:p w:rsidR="001B4F72" w:rsidRPr="001B4F72" w:rsidRDefault="001B4F72" w:rsidP="001B4F72">
      <w:pPr>
        <w:adjustRightInd w:val="0"/>
        <w:ind w:left="1276" w:hanging="425"/>
        <w:rPr>
          <w:rFonts w:asciiTheme="minorHAnsi" w:hAnsiTheme="minorHAnsi" w:cs="Arial"/>
          <w:bCs/>
        </w:rPr>
      </w:pPr>
      <w:r w:rsidRPr="001B4F72">
        <w:rPr>
          <w:rFonts w:asciiTheme="minorHAnsi" w:hAnsiTheme="minorHAnsi" w:cs="Arial"/>
          <w:bCs/>
        </w:rPr>
        <w:t>Kim Salisbury</w:t>
      </w:r>
    </w:p>
    <w:p w:rsidR="001B4F72" w:rsidRPr="001B4F72" w:rsidRDefault="001B4F72" w:rsidP="001B4F72">
      <w:pPr>
        <w:adjustRightInd w:val="0"/>
        <w:ind w:left="1276" w:hanging="425"/>
        <w:rPr>
          <w:rFonts w:asciiTheme="minorHAnsi" w:hAnsiTheme="minorHAnsi" w:cs="Arial"/>
        </w:rPr>
      </w:pPr>
      <w:r w:rsidRPr="001B4F72">
        <w:rPr>
          <w:rFonts w:asciiTheme="minorHAnsi" w:hAnsiTheme="minorHAnsi" w:cs="Arial"/>
        </w:rPr>
        <w:t>Commissioner for ACT Revenue</w:t>
      </w:r>
    </w:p>
    <w:p w:rsidR="001B4F72" w:rsidRPr="001B4F72" w:rsidRDefault="001B4F72" w:rsidP="001B4F72">
      <w:pPr>
        <w:adjustRightInd w:val="0"/>
        <w:ind w:left="1276" w:hanging="425"/>
        <w:rPr>
          <w:rFonts w:asciiTheme="minorHAnsi" w:hAnsiTheme="minorHAnsi" w:cs="Arial"/>
        </w:rPr>
      </w:pPr>
      <w:r w:rsidRPr="001B4F72">
        <w:rPr>
          <w:rFonts w:asciiTheme="minorHAnsi" w:hAnsiTheme="minorHAnsi" w:cs="Arial"/>
        </w:rPr>
        <w:t>7 August 2015</w:t>
      </w:r>
      <w:bookmarkStart w:id="0" w:name="_GoBack"/>
      <w:bookmarkEnd w:id="0"/>
    </w:p>
    <w:p w:rsidR="00A970B8" w:rsidRPr="001C02E7" w:rsidRDefault="00A970B8" w:rsidP="001B4F72">
      <w:pPr>
        <w:widowControl/>
        <w:suppressAutoHyphens w:val="0"/>
        <w:adjustRightInd w:val="0"/>
        <w:spacing w:before="120" w:after="120"/>
        <w:jc w:val="both"/>
        <w:textAlignment w:val="auto"/>
        <w:rPr>
          <w:rFonts w:asciiTheme="minorHAnsi" w:hAnsiTheme="minorHAnsi" w:cs="Arial"/>
        </w:rPr>
      </w:pPr>
    </w:p>
    <w:sectPr w:rsidR="00A970B8" w:rsidRPr="001C02E7" w:rsidSect="001C02E7">
      <w:pgSz w:w="11910" w:h="16840" w:code="9"/>
      <w:pgMar w:top="709" w:right="992" w:bottom="851"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8924AB4"/>
    <w:multiLevelType w:val="hybridMultilevel"/>
    <w:tmpl w:val="94DE7668"/>
    <w:lvl w:ilvl="0" w:tplc="A40AA902">
      <w:start w:val="1"/>
      <w:numFmt w:val="bullet"/>
      <w:lvlText w:val=""/>
      <w:lvlJc w:val="left"/>
      <w:pPr>
        <w:tabs>
          <w:tab w:val="num" w:pos="284"/>
        </w:tabs>
        <w:ind w:left="284" w:hanging="284"/>
      </w:pPr>
      <w:rPr>
        <w:rFonts w:ascii="Symbol" w:hAnsi="Symbol" w:hint="default"/>
      </w:rPr>
    </w:lvl>
    <w:lvl w:ilvl="1" w:tplc="74F09A3C">
      <w:start w:val="1"/>
      <w:numFmt w:val="bullet"/>
      <w:lvlText w:val="o"/>
      <w:lvlJc w:val="left"/>
      <w:pPr>
        <w:tabs>
          <w:tab w:val="num" w:pos="1157"/>
        </w:tabs>
        <w:ind w:left="1137" w:hanging="340"/>
      </w:p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
    <w:nsid w:val="196B575C"/>
    <w:multiLevelType w:val="hybridMultilevel"/>
    <w:tmpl w:val="FDFAF976"/>
    <w:lvl w:ilvl="0" w:tplc="C882AD50">
      <w:start w:val="1"/>
      <w:numFmt w:val="decimal"/>
      <w:lvlText w:val="%1."/>
      <w:lvlJc w:val="left"/>
      <w:pPr>
        <w:tabs>
          <w:tab w:val="num" w:pos="454"/>
        </w:tabs>
        <w:ind w:left="72" w:hanging="72"/>
      </w:pPr>
      <w:rPr>
        <w:rFonts w:cs="Times New Roman"/>
        <w:b w:val="0"/>
      </w:rPr>
    </w:lvl>
    <w:lvl w:ilvl="1" w:tplc="74F09A3C">
      <w:start w:val="1"/>
      <w:numFmt w:val="bullet"/>
      <w:lvlText w:val="o"/>
      <w:lvlJc w:val="left"/>
      <w:pPr>
        <w:tabs>
          <w:tab w:val="num" w:pos="720"/>
        </w:tabs>
        <w:ind w:left="700" w:hanging="340"/>
      </w:pPr>
    </w:lvl>
    <w:lvl w:ilvl="2" w:tplc="09B48F00">
      <w:start w:val="1"/>
      <w:numFmt w:val="lowerLetter"/>
      <w:lvlText w:val="(%3)"/>
      <w:lvlJc w:val="left"/>
      <w:pPr>
        <w:tabs>
          <w:tab w:val="num" w:pos="1980"/>
        </w:tabs>
        <w:ind w:left="1980" w:hanging="720"/>
      </w:pPr>
      <w:rPr>
        <w:rFonts w:cs="Times New Roman"/>
      </w:rPr>
    </w:lvl>
    <w:lvl w:ilvl="3" w:tplc="0C09000F">
      <w:start w:val="1"/>
      <w:numFmt w:val="decimal"/>
      <w:lvlText w:val="%4."/>
      <w:lvlJc w:val="left"/>
      <w:pPr>
        <w:tabs>
          <w:tab w:val="num" w:pos="2160"/>
        </w:tabs>
        <w:ind w:left="2160" w:hanging="360"/>
      </w:pPr>
      <w:rPr>
        <w:rFonts w:cs="Times New Roman"/>
      </w:rPr>
    </w:lvl>
    <w:lvl w:ilvl="4" w:tplc="0C090019">
      <w:start w:val="1"/>
      <w:numFmt w:val="lowerLetter"/>
      <w:lvlText w:val="%5."/>
      <w:lvlJc w:val="left"/>
      <w:pPr>
        <w:tabs>
          <w:tab w:val="num" w:pos="2880"/>
        </w:tabs>
        <w:ind w:left="2880" w:hanging="360"/>
      </w:pPr>
      <w:rPr>
        <w:rFonts w:cs="Times New Roman"/>
      </w:rPr>
    </w:lvl>
    <w:lvl w:ilvl="5" w:tplc="0C09001B">
      <w:start w:val="1"/>
      <w:numFmt w:val="lowerRoman"/>
      <w:lvlText w:val="%6."/>
      <w:lvlJc w:val="right"/>
      <w:pPr>
        <w:tabs>
          <w:tab w:val="num" w:pos="3600"/>
        </w:tabs>
        <w:ind w:left="3600" w:hanging="180"/>
      </w:pPr>
      <w:rPr>
        <w:rFonts w:cs="Times New Roman"/>
      </w:rPr>
    </w:lvl>
    <w:lvl w:ilvl="6" w:tplc="0C09000F">
      <w:start w:val="1"/>
      <w:numFmt w:val="decimal"/>
      <w:lvlText w:val="%7."/>
      <w:lvlJc w:val="left"/>
      <w:pPr>
        <w:tabs>
          <w:tab w:val="num" w:pos="4320"/>
        </w:tabs>
        <w:ind w:left="4320" w:hanging="360"/>
      </w:pPr>
      <w:rPr>
        <w:rFonts w:cs="Times New Roman"/>
      </w:rPr>
    </w:lvl>
    <w:lvl w:ilvl="7" w:tplc="0C090019">
      <w:start w:val="1"/>
      <w:numFmt w:val="lowerLetter"/>
      <w:lvlText w:val="%8."/>
      <w:lvlJc w:val="left"/>
      <w:pPr>
        <w:tabs>
          <w:tab w:val="num" w:pos="5040"/>
        </w:tabs>
        <w:ind w:left="5040" w:hanging="360"/>
      </w:pPr>
      <w:rPr>
        <w:rFonts w:cs="Times New Roman"/>
      </w:rPr>
    </w:lvl>
    <w:lvl w:ilvl="8" w:tplc="0C09001B">
      <w:start w:val="1"/>
      <w:numFmt w:val="lowerRoman"/>
      <w:lvlText w:val="%9."/>
      <w:lvlJc w:val="right"/>
      <w:pPr>
        <w:tabs>
          <w:tab w:val="num" w:pos="5760"/>
        </w:tabs>
        <w:ind w:left="5760" w:hanging="180"/>
      </w:pPr>
      <w:rPr>
        <w:rFonts w:cs="Times New Roman"/>
      </w:rPr>
    </w:lvl>
  </w:abstractNum>
  <w:abstractNum w:abstractNumId="3">
    <w:nsid w:val="1DBC7A76"/>
    <w:multiLevelType w:val="hybridMultilevel"/>
    <w:tmpl w:val="CDD2A69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4">
    <w:nsid w:val="1DF5684E"/>
    <w:multiLevelType w:val="hybridMultilevel"/>
    <w:tmpl w:val="AE465BBA"/>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5">
    <w:nsid w:val="25C07C99"/>
    <w:multiLevelType w:val="hybridMultilevel"/>
    <w:tmpl w:val="9206864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6">
    <w:nsid w:val="26011BA2"/>
    <w:multiLevelType w:val="hybridMultilevel"/>
    <w:tmpl w:val="41826A92"/>
    <w:lvl w:ilvl="0" w:tplc="E82EBB98">
      <w:start w:val="1"/>
      <w:numFmt w:val="decimal"/>
      <w:lvlText w:val="%1."/>
      <w:lvlJc w:val="left"/>
      <w:pPr>
        <w:tabs>
          <w:tab w:val="num" w:pos="720"/>
        </w:tabs>
        <w:ind w:left="720" w:hanging="720"/>
      </w:pPr>
      <w:rPr>
        <w:rFonts w:cs="Times New Roman"/>
        <w:color w:val="auto"/>
      </w:rPr>
    </w:lvl>
    <w:lvl w:ilvl="1" w:tplc="E1565F5E">
      <w:start w:val="1"/>
      <w:numFmt w:val="lowerLetter"/>
      <w:lvlText w:val="(%2)"/>
      <w:lvlJc w:val="left"/>
      <w:pPr>
        <w:tabs>
          <w:tab w:val="num" w:pos="1440"/>
        </w:tabs>
        <w:ind w:left="1440" w:hanging="720"/>
      </w:pPr>
      <w:rPr>
        <w:rFonts w:cs="Times New Roman"/>
        <w:color w:val="auto"/>
      </w:rPr>
    </w:lvl>
    <w:lvl w:ilvl="2" w:tplc="58E4B69E">
      <w:start w:val="1"/>
      <w:numFmt w:val="lowerRoman"/>
      <w:lvlText w:val="%3."/>
      <w:lvlJc w:val="right"/>
      <w:pPr>
        <w:tabs>
          <w:tab w:val="num" w:pos="1773"/>
        </w:tabs>
        <w:ind w:left="1773" w:hanging="153"/>
      </w:pPr>
      <w:rPr>
        <w:rFonts w:cs="Times New Roman"/>
        <w:color w:val="auto"/>
      </w:rPr>
    </w:lvl>
    <w:lvl w:ilvl="3" w:tplc="F8DA705A">
      <w:start w:val="1"/>
      <w:numFmt w:val="lowerLetter"/>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7">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53845B3"/>
    <w:multiLevelType w:val="hybridMultilevel"/>
    <w:tmpl w:val="F4B692FC"/>
    <w:lvl w:ilvl="0" w:tplc="85B0232A">
      <w:start w:val="1"/>
      <w:numFmt w:val="decimal"/>
      <w:lvlText w:val="%1."/>
      <w:lvlJc w:val="left"/>
      <w:pPr>
        <w:ind w:left="107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nsid w:val="49EF168D"/>
    <w:multiLevelType w:val="hybridMultilevel"/>
    <w:tmpl w:val="AB6CD066"/>
    <w:lvl w:ilvl="0" w:tplc="94DAFE4E">
      <w:start w:val="1"/>
      <w:numFmt w:val="decimal"/>
      <w:lvlText w:val="%1."/>
      <w:lvlJc w:val="left"/>
      <w:pPr>
        <w:tabs>
          <w:tab w:val="num" w:pos="720"/>
        </w:tabs>
        <w:ind w:left="720" w:hanging="72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8951B84"/>
    <w:multiLevelType w:val="hybridMultilevel"/>
    <w:tmpl w:val="8738E39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2">
    <w:nsid w:val="597D4941"/>
    <w:multiLevelType w:val="hybridMultilevel"/>
    <w:tmpl w:val="11B0FCD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3">
    <w:nsid w:val="78290D3D"/>
    <w:multiLevelType w:val="hybridMultilevel"/>
    <w:tmpl w:val="67E2DEF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num>
  <w:num w:numId="13">
    <w:abstractNumId w:val="11"/>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5B0828"/>
    <w:rsid w:val="000A00F3"/>
    <w:rsid w:val="000D649E"/>
    <w:rsid w:val="000D64C3"/>
    <w:rsid w:val="000F2603"/>
    <w:rsid w:val="0011361A"/>
    <w:rsid w:val="00193116"/>
    <w:rsid w:val="001B4F72"/>
    <w:rsid w:val="001C02E7"/>
    <w:rsid w:val="0020337F"/>
    <w:rsid w:val="00210C1D"/>
    <w:rsid w:val="002240B1"/>
    <w:rsid w:val="00244887"/>
    <w:rsid w:val="00275FAE"/>
    <w:rsid w:val="00310E54"/>
    <w:rsid w:val="00391CB7"/>
    <w:rsid w:val="004B47E0"/>
    <w:rsid w:val="00550052"/>
    <w:rsid w:val="005B0828"/>
    <w:rsid w:val="006B0ECA"/>
    <w:rsid w:val="006B2035"/>
    <w:rsid w:val="00712A2B"/>
    <w:rsid w:val="007F7D66"/>
    <w:rsid w:val="00822F9C"/>
    <w:rsid w:val="008B1CDE"/>
    <w:rsid w:val="0096709E"/>
    <w:rsid w:val="009939A8"/>
    <w:rsid w:val="00A812EA"/>
    <w:rsid w:val="00A970B8"/>
    <w:rsid w:val="00AD4741"/>
    <w:rsid w:val="00AF7801"/>
    <w:rsid w:val="00B00642"/>
    <w:rsid w:val="00BA4E72"/>
    <w:rsid w:val="00BB7D19"/>
    <w:rsid w:val="00BE0B6D"/>
    <w:rsid w:val="00BF64D2"/>
    <w:rsid w:val="00C24521"/>
    <w:rsid w:val="00C82405"/>
    <w:rsid w:val="00C8554F"/>
    <w:rsid w:val="00CD0ACD"/>
    <w:rsid w:val="00CD6913"/>
    <w:rsid w:val="00CF5275"/>
    <w:rsid w:val="00D37A7F"/>
    <w:rsid w:val="00D908F9"/>
    <w:rsid w:val="00DA0B26"/>
    <w:rsid w:val="00DA6ED5"/>
    <w:rsid w:val="00E81FA3"/>
    <w:rsid w:val="00E93D0A"/>
    <w:rsid w:val="00EB4F51"/>
    <w:rsid w:val="00EB74B1"/>
    <w:rsid w:val="00F10DB5"/>
    <w:rsid w:val="00F44A8D"/>
    <w:rsid w:val="00FE50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38060944">
      <w:bodyDiv w:val="1"/>
      <w:marLeft w:val="0"/>
      <w:marRight w:val="0"/>
      <w:marTop w:val="0"/>
      <w:marBottom w:val="0"/>
      <w:divBdr>
        <w:top w:val="none" w:sz="0" w:space="0" w:color="auto"/>
        <w:left w:val="none" w:sz="0" w:space="0" w:color="auto"/>
        <w:bottom w:val="none" w:sz="0" w:space="0" w:color="auto"/>
        <w:right w:val="none" w:sz="0" w:space="0" w:color="auto"/>
      </w:divBdr>
    </w:div>
    <w:div w:id="669917549">
      <w:bodyDiv w:val="1"/>
      <w:marLeft w:val="0"/>
      <w:marRight w:val="0"/>
      <w:marTop w:val="0"/>
      <w:marBottom w:val="0"/>
      <w:divBdr>
        <w:top w:val="none" w:sz="0" w:space="0" w:color="auto"/>
        <w:left w:val="none" w:sz="0" w:space="0" w:color="auto"/>
        <w:bottom w:val="none" w:sz="0" w:space="0" w:color="auto"/>
        <w:right w:val="none" w:sz="0" w:space="0" w:color="auto"/>
      </w:divBdr>
    </w:div>
    <w:div w:id="842818868">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948777318">
      <w:bodyDiv w:val="1"/>
      <w:marLeft w:val="0"/>
      <w:marRight w:val="0"/>
      <w:marTop w:val="0"/>
      <w:marBottom w:val="0"/>
      <w:divBdr>
        <w:top w:val="none" w:sz="0" w:space="0" w:color="auto"/>
        <w:left w:val="none" w:sz="0" w:space="0" w:color="auto"/>
        <w:bottom w:val="none" w:sz="0" w:space="0" w:color="auto"/>
        <w:right w:val="none" w:sz="0" w:space="0" w:color="auto"/>
      </w:divBdr>
    </w:div>
    <w:div w:id="950236418">
      <w:bodyDiv w:val="1"/>
      <w:marLeft w:val="0"/>
      <w:marRight w:val="0"/>
      <w:marTop w:val="0"/>
      <w:marBottom w:val="0"/>
      <w:divBdr>
        <w:top w:val="none" w:sz="0" w:space="0" w:color="auto"/>
        <w:left w:val="none" w:sz="0" w:space="0" w:color="auto"/>
        <w:bottom w:val="none" w:sz="0" w:space="0" w:color="auto"/>
        <w:right w:val="none" w:sz="0" w:space="0" w:color="auto"/>
      </w:divBdr>
    </w:div>
    <w:div w:id="1064454299">
      <w:bodyDiv w:val="1"/>
      <w:marLeft w:val="0"/>
      <w:marRight w:val="0"/>
      <w:marTop w:val="0"/>
      <w:marBottom w:val="0"/>
      <w:divBdr>
        <w:top w:val="none" w:sz="0" w:space="0" w:color="auto"/>
        <w:left w:val="none" w:sz="0" w:space="0" w:color="auto"/>
        <w:bottom w:val="none" w:sz="0" w:space="0" w:color="auto"/>
        <w:right w:val="none" w:sz="0" w:space="0" w:color="auto"/>
      </w:divBdr>
    </w:div>
    <w:div w:id="1196431227">
      <w:bodyDiv w:val="1"/>
      <w:marLeft w:val="0"/>
      <w:marRight w:val="0"/>
      <w:marTop w:val="0"/>
      <w:marBottom w:val="0"/>
      <w:divBdr>
        <w:top w:val="none" w:sz="0" w:space="0" w:color="auto"/>
        <w:left w:val="none" w:sz="0" w:space="0" w:color="auto"/>
        <w:bottom w:val="none" w:sz="0" w:space="0" w:color="auto"/>
        <w:right w:val="none" w:sz="0" w:space="0" w:color="auto"/>
      </w:divBdr>
    </w:div>
    <w:div w:id="1315333827">
      <w:bodyDiv w:val="1"/>
      <w:marLeft w:val="0"/>
      <w:marRight w:val="0"/>
      <w:marTop w:val="0"/>
      <w:marBottom w:val="0"/>
      <w:divBdr>
        <w:top w:val="none" w:sz="0" w:space="0" w:color="auto"/>
        <w:left w:val="none" w:sz="0" w:space="0" w:color="auto"/>
        <w:bottom w:val="none" w:sz="0" w:space="0" w:color="auto"/>
        <w:right w:val="none" w:sz="0" w:space="0" w:color="auto"/>
      </w:divBdr>
    </w:div>
    <w:div w:id="1389837149">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7743">
      <w:bodyDiv w:val="1"/>
      <w:marLeft w:val="0"/>
      <w:marRight w:val="0"/>
      <w:marTop w:val="0"/>
      <w:marBottom w:val="0"/>
      <w:divBdr>
        <w:top w:val="none" w:sz="0" w:space="0" w:color="auto"/>
        <w:left w:val="none" w:sz="0" w:space="0" w:color="auto"/>
        <w:bottom w:val="none" w:sz="0" w:space="0" w:color="auto"/>
        <w:right w:val="none" w:sz="0" w:space="0" w:color="auto"/>
      </w:divBdr>
    </w:div>
    <w:div w:id="1839923502">
      <w:bodyDiv w:val="1"/>
      <w:marLeft w:val="0"/>
      <w:marRight w:val="0"/>
      <w:marTop w:val="0"/>
      <w:marBottom w:val="0"/>
      <w:divBdr>
        <w:top w:val="none" w:sz="0" w:space="0" w:color="auto"/>
        <w:left w:val="none" w:sz="0" w:space="0" w:color="auto"/>
        <w:bottom w:val="none" w:sz="0" w:space="0" w:color="auto"/>
        <w:right w:val="none" w:sz="0" w:space="0" w:color="auto"/>
      </w:divBdr>
    </w:div>
    <w:div w:id="209265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EDC88-4A98-45CD-A193-35F6F57C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881</Words>
  <Characters>4416</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4</cp:revision>
  <cp:lastPrinted>2017-05-08T23:51:00Z</cp:lastPrinted>
  <dcterms:created xsi:type="dcterms:W3CDTF">2017-05-27T12:58:00Z</dcterms:created>
  <dcterms:modified xsi:type="dcterms:W3CDTF">2017-06-09T02:09:00Z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