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61156"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553651" cy="218308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570875" cy="2187018"/>
                    </a:xfrm>
                    <a:prstGeom prst="rect">
                      <a:avLst/>
                    </a:prstGeom>
                    <a:noFill/>
                    <a:ln>
                      <a:noFill/>
                    </a:ln>
                  </pic:spPr>
                </pic:pic>
              </a:graphicData>
            </a:graphic>
          </wp:inline>
        </w:drawing>
      </w:r>
    </w:p>
    <w:p w:rsidR="006B0ECA" w:rsidRPr="00813353" w:rsidRDefault="006B0ECA" w:rsidP="00AD4741">
      <w:pPr>
        <w:ind w:left="1134"/>
        <w:jc w:val="both"/>
        <w:rPr>
          <w:rFonts w:asciiTheme="minorHAnsi" w:hAnsiTheme="minorHAnsi"/>
          <w:sz w:val="16"/>
          <w:szCs w:val="16"/>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639"/>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955D1">
            <w:pPr>
              <w:jc w:val="both"/>
              <w:rPr>
                <w:b/>
                <w:lang w:eastAsia="en-US"/>
              </w:rPr>
            </w:pPr>
            <w:r>
              <w:rPr>
                <w:b/>
                <w:lang w:eastAsia="en-US"/>
              </w:rPr>
              <w:t>REVENUE CIRCULAR PTA0</w:t>
            </w:r>
            <w:r w:rsidR="003F56AB">
              <w:rPr>
                <w:b/>
                <w:lang w:eastAsia="en-US"/>
              </w:rPr>
              <w:t>77</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3F56AB" w:rsidP="00751247">
            <w:pPr>
              <w:ind w:right="175"/>
              <w:jc w:val="both"/>
              <w:rPr>
                <w:lang w:eastAsia="en-US"/>
              </w:rPr>
            </w:pPr>
            <w:r>
              <w:rPr>
                <w:lang w:eastAsia="en-US"/>
              </w:rPr>
              <w:t>Payments to and by third persons or through interposing partnerships, trusts or companies</w:t>
            </w:r>
            <w:r w:rsidR="00767E92">
              <w:rPr>
                <w:lang w:eastAsia="en-US"/>
              </w:rPr>
              <w:t xml:space="preserve"> </w:t>
            </w:r>
            <w:r w:rsidR="00F44A8D" w:rsidRPr="00F44A8D">
              <w:rPr>
                <w:i/>
                <w:lang w:eastAsia="en-US"/>
              </w:rPr>
              <w:t>Payroll Tax Act 2011</w:t>
            </w:r>
            <w:bookmarkStart w:id="0" w:name="_GoBack"/>
            <w:bookmarkEnd w:id="0"/>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6C493C">
            <w:pPr>
              <w:jc w:val="both"/>
              <w:rPr>
                <w:lang w:eastAsia="en-US"/>
              </w:rPr>
            </w:pPr>
            <w:r>
              <w:rPr>
                <w:lang w:eastAsia="en-US"/>
              </w:rPr>
              <w:t xml:space="preserve">Issue Date: </w:t>
            </w:r>
            <w:r w:rsidR="006C493C">
              <w:rPr>
                <w:lang w:eastAsia="en-US"/>
              </w:rPr>
              <w:t>30 June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6C493C">
            <w:pPr>
              <w:jc w:val="both"/>
            </w:pPr>
            <w:r>
              <w:t>Status: Current</w:t>
            </w:r>
            <w:r w:rsidR="00BB7D19">
              <w:t xml:space="preserve"> – </w:t>
            </w:r>
            <w:r w:rsidR="006C493C">
              <w:t>1 July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D93CB9">
            <w:pPr>
              <w:jc w:val="both"/>
            </w:pPr>
            <w:r>
              <w:t xml:space="preserve">Previous Circular: </w:t>
            </w:r>
            <w:r w:rsidR="00692CD4">
              <w:t>-</w:t>
            </w:r>
            <w:r w:rsidR="00767E92">
              <w:t>PT</w:t>
            </w:r>
            <w:r w:rsidR="003F56AB">
              <w:t>X026</w:t>
            </w:r>
          </w:p>
        </w:tc>
      </w:tr>
    </w:tbl>
    <w:p w:rsidR="00F44A8D" w:rsidRPr="00AD4741" w:rsidRDefault="00BB7D19" w:rsidP="004E577D">
      <w:pPr>
        <w:pStyle w:val="Heading1"/>
        <w:spacing w:before="60" w:after="60" w:line="240" w:lineRule="auto"/>
        <w:ind w:left="1701" w:hanging="567"/>
        <w:jc w:val="both"/>
      </w:pPr>
      <w:r>
        <w:t>Preamble</w:t>
      </w:r>
    </w:p>
    <w:p w:rsidR="00D93CB9" w:rsidRDefault="00D93CB9" w:rsidP="004E2F43">
      <w:pPr>
        <w:tabs>
          <w:tab w:val="left" w:pos="426"/>
        </w:tabs>
        <w:adjustRightInd w:val="0"/>
        <w:spacing w:before="60" w:after="60"/>
        <w:ind w:left="1134"/>
        <w:jc w:val="both"/>
        <w:rPr>
          <w:rFonts w:cs="Arial"/>
        </w:rPr>
      </w:pPr>
      <w:r>
        <w:rPr>
          <w:rFonts w:cs="Arial"/>
        </w:rPr>
        <w:t xml:space="preserve">The </w:t>
      </w:r>
      <w:r>
        <w:rPr>
          <w:rFonts w:cs="Arial"/>
          <w:i/>
        </w:rPr>
        <w:t>Payroll Tax Act 2011</w:t>
      </w:r>
      <w:r>
        <w:rPr>
          <w:rFonts w:cs="Arial"/>
        </w:rPr>
        <w:t xml:space="preserve"> (the Act), which commenced on 1 July 2011, rewrites the </w:t>
      </w:r>
      <w:r>
        <w:rPr>
          <w:rFonts w:cs="Arial"/>
          <w:i/>
        </w:rPr>
        <w:t>Payroll Tax Act 1987</w:t>
      </w:r>
      <w:r>
        <w:rPr>
          <w:rFonts w:cs="Arial"/>
        </w:rPr>
        <w:t xml:space="preserve"> (the 1987 Act) and harmonises the payroll tax legislation in the Australian jurisdictions.  </w:t>
      </w:r>
    </w:p>
    <w:p w:rsidR="003F56AB" w:rsidRDefault="003F56AB" w:rsidP="003F56AB">
      <w:pPr>
        <w:shd w:val="clear" w:color="auto" w:fill="FFFFFF"/>
        <w:spacing w:before="120" w:after="120"/>
        <w:ind w:left="1701" w:hanging="567"/>
        <w:jc w:val="both"/>
        <w:rPr>
          <w:rFonts w:cs="Arial"/>
        </w:rPr>
      </w:pPr>
      <w:r>
        <w:rPr>
          <w:rFonts w:cs="Arial"/>
        </w:rPr>
        <w:t>1.</w:t>
      </w:r>
      <w:r>
        <w:rPr>
          <w:rFonts w:cs="Arial"/>
        </w:rPr>
        <w:tab/>
        <w:t>The Act imposes a liability to ACT payroll tax on an employer for any wages paid or payable by the employer for services rendered or performed in, or partly in, the ACT.</w:t>
      </w:r>
    </w:p>
    <w:p w:rsidR="003F56AB" w:rsidRDefault="003F56AB" w:rsidP="003F56AB">
      <w:pPr>
        <w:shd w:val="clear" w:color="auto" w:fill="FFFFFF"/>
        <w:spacing w:before="120" w:after="120"/>
        <w:ind w:left="1701" w:hanging="567"/>
        <w:jc w:val="both"/>
        <w:rPr>
          <w:rFonts w:cs="Arial"/>
        </w:rPr>
      </w:pPr>
      <w:r>
        <w:rPr>
          <w:rFonts w:cs="Arial"/>
        </w:rPr>
        <w:t>2.</w:t>
      </w:r>
      <w:r>
        <w:rPr>
          <w:rFonts w:cs="Arial"/>
        </w:rPr>
        <w:tab/>
        <w:t xml:space="preserve">This circular provides guidelines on the application of the Act to payments </w:t>
      </w:r>
      <w:r>
        <w:rPr>
          <w:rFonts w:cs="Arial"/>
          <w:color w:val="000000"/>
        </w:rPr>
        <w:t>not made directly by an employer to an employee where they are paid to or by another person, or paid by a person on behalf of the employer to or in relation to an employee.</w:t>
      </w:r>
    </w:p>
    <w:p w:rsidR="007B467B" w:rsidRPr="004E2F43" w:rsidRDefault="00576D5C" w:rsidP="00DF7ECB">
      <w:pPr>
        <w:spacing w:before="60" w:after="60"/>
        <w:ind w:left="1134"/>
        <w:jc w:val="both"/>
        <w:outlineLvl w:val="1"/>
        <w:rPr>
          <w:rFonts w:cs="Arial"/>
          <w:b/>
          <w:bCs/>
          <w:color w:val="000000"/>
          <w:sz w:val="28"/>
          <w:szCs w:val="28"/>
        </w:rPr>
      </w:pPr>
      <w:r w:rsidRPr="004E2F43">
        <w:rPr>
          <w:rFonts w:cs="Arial"/>
          <w:b/>
          <w:bCs/>
          <w:color w:val="000000"/>
          <w:sz w:val="28"/>
          <w:szCs w:val="28"/>
        </w:rPr>
        <w:t>Circular</w:t>
      </w:r>
    </w:p>
    <w:p w:rsidR="003F56AB" w:rsidRPr="003F56AB" w:rsidRDefault="003F56AB" w:rsidP="003F56AB">
      <w:pPr>
        <w:adjustRightInd w:val="0"/>
        <w:spacing w:before="120" w:after="120"/>
        <w:ind w:left="1134"/>
        <w:jc w:val="both"/>
        <w:outlineLvl w:val="1"/>
        <w:rPr>
          <w:rFonts w:cs="Arial"/>
          <w:b/>
          <w:bCs/>
          <w:color w:val="000000"/>
        </w:rPr>
      </w:pPr>
      <w:r w:rsidRPr="003F56AB">
        <w:rPr>
          <w:rFonts w:cs="Arial"/>
          <w:b/>
          <w:bCs/>
          <w:color w:val="000000"/>
        </w:rPr>
        <w:t>Wages paid to or by another person</w:t>
      </w:r>
    </w:p>
    <w:p w:rsidR="003F56AB" w:rsidRDefault="003F56AB" w:rsidP="003F56AB">
      <w:pPr>
        <w:adjustRightInd w:val="0"/>
        <w:spacing w:before="120" w:after="120"/>
        <w:ind w:left="1701" w:hanging="567"/>
        <w:jc w:val="both"/>
        <w:rPr>
          <w:rFonts w:cs="Arial"/>
          <w:color w:val="000000"/>
        </w:rPr>
      </w:pPr>
      <w:r>
        <w:rPr>
          <w:rFonts w:cs="Arial"/>
          <w:color w:val="000000"/>
        </w:rPr>
        <w:t>3.</w:t>
      </w:r>
      <w:r>
        <w:rPr>
          <w:rFonts w:cs="Arial"/>
          <w:color w:val="000000"/>
        </w:rPr>
        <w:tab/>
        <w:t xml:space="preserve">Under the definition of “wages” in </w:t>
      </w:r>
      <w:r>
        <w:rPr>
          <w:rFonts w:cs="Arial"/>
        </w:rPr>
        <w:t>sections 13 and 46 of the</w:t>
      </w:r>
      <w:r>
        <w:rPr>
          <w:rFonts w:cs="Arial"/>
          <w:color w:val="000000"/>
        </w:rPr>
        <w:t xml:space="preserve"> Act, employers are liable for payroll tax on amounts paid or payable where such payments are not made directly by an employer to an employee. </w:t>
      </w:r>
    </w:p>
    <w:p w:rsidR="003F56AB" w:rsidRDefault="003F56AB" w:rsidP="003F56AB">
      <w:pPr>
        <w:adjustRightInd w:val="0"/>
        <w:spacing w:before="120" w:after="120"/>
        <w:ind w:left="1701" w:hanging="567"/>
        <w:jc w:val="both"/>
        <w:rPr>
          <w:rFonts w:cs="Arial"/>
          <w:color w:val="000000"/>
        </w:rPr>
      </w:pPr>
      <w:r>
        <w:rPr>
          <w:rFonts w:cs="Arial"/>
          <w:color w:val="000000"/>
        </w:rPr>
        <w:t>4.</w:t>
      </w:r>
      <w:r>
        <w:rPr>
          <w:rFonts w:cs="Arial"/>
          <w:color w:val="000000"/>
        </w:rPr>
        <w:tab/>
        <w:t xml:space="preserve">There are two basic categories of such arrangements. </w:t>
      </w:r>
    </w:p>
    <w:p w:rsidR="003F56AB" w:rsidRPr="003F56AB" w:rsidRDefault="003F56AB" w:rsidP="003F56AB">
      <w:pPr>
        <w:adjustRightInd w:val="0"/>
        <w:spacing w:before="120" w:after="120"/>
        <w:ind w:left="1134"/>
        <w:jc w:val="both"/>
        <w:outlineLvl w:val="1"/>
        <w:rPr>
          <w:rFonts w:cs="Arial"/>
          <w:color w:val="000000"/>
        </w:rPr>
      </w:pPr>
      <w:r w:rsidRPr="003F56AB">
        <w:rPr>
          <w:rFonts w:cs="Arial"/>
          <w:b/>
          <w:color w:val="000000"/>
        </w:rPr>
        <w:t>Payment by a person on behalf of the employer to or in relation to an employee</w:t>
      </w:r>
    </w:p>
    <w:p w:rsidR="003F56AB" w:rsidRDefault="003F56AB" w:rsidP="003F56AB">
      <w:pPr>
        <w:adjustRightInd w:val="0"/>
        <w:spacing w:before="120" w:after="120"/>
        <w:ind w:left="1701" w:hanging="567"/>
        <w:jc w:val="both"/>
        <w:rPr>
          <w:rFonts w:cs="Arial"/>
          <w:color w:val="000000"/>
        </w:rPr>
      </w:pPr>
      <w:r>
        <w:rPr>
          <w:rFonts w:cs="Arial"/>
          <w:color w:val="000000"/>
        </w:rPr>
        <w:t>5.</w:t>
      </w:r>
      <w:r>
        <w:rPr>
          <w:rFonts w:cs="Arial"/>
          <w:color w:val="000000"/>
        </w:rPr>
        <w:tab/>
        <w:t xml:space="preserve">Any payment in cash or in kind to or in respect of an employee or a salaried director made under an arrangement with the employer, on account of the employee’s employment, is liable to payroll tax.  </w:t>
      </w:r>
    </w:p>
    <w:p w:rsidR="003F56AB" w:rsidRDefault="003F56AB" w:rsidP="003F56AB">
      <w:pPr>
        <w:adjustRightInd w:val="0"/>
        <w:spacing w:before="120" w:after="120"/>
        <w:ind w:left="1701" w:hanging="567"/>
        <w:jc w:val="both"/>
        <w:rPr>
          <w:rFonts w:cs="Arial"/>
          <w:color w:val="000000"/>
        </w:rPr>
      </w:pPr>
      <w:r>
        <w:rPr>
          <w:rFonts w:cs="Arial"/>
          <w:color w:val="000000"/>
        </w:rPr>
        <w:t>6.</w:t>
      </w:r>
      <w:r>
        <w:rPr>
          <w:rFonts w:cs="Arial"/>
          <w:color w:val="000000"/>
        </w:rPr>
        <w:tab/>
        <w:t>For example, the payment of school fees by a "Scholarship Trust" set up by the employer, whether paid to the employee, the school, to members of the employee’s family or to a family trust, etc.</w:t>
      </w:r>
    </w:p>
    <w:p w:rsidR="003F56AB" w:rsidRPr="003F56AB" w:rsidRDefault="003F56AB" w:rsidP="003F56AB">
      <w:pPr>
        <w:adjustRightInd w:val="0"/>
        <w:spacing w:before="120" w:after="120"/>
        <w:ind w:left="1134"/>
        <w:jc w:val="both"/>
        <w:outlineLvl w:val="1"/>
        <w:rPr>
          <w:rFonts w:cs="Arial"/>
          <w:b/>
          <w:color w:val="000000"/>
        </w:rPr>
      </w:pPr>
      <w:r w:rsidRPr="003F56AB">
        <w:rPr>
          <w:rFonts w:cs="Arial"/>
          <w:b/>
          <w:color w:val="000000"/>
        </w:rPr>
        <w:t>Payment by the employer to a person other than the employee</w:t>
      </w:r>
    </w:p>
    <w:p w:rsidR="003F56AB" w:rsidRDefault="003F56AB" w:rsidP="003F56AB">
      <w:pPr>
        <w:adjustRightInd w:val="0"/>
        <w:spacing w:before="120" w:after="120"/>
        <w:ind w:left="1701" w:hanging="567"/>
        <w:jc w:val="both"/>
        <w:rPr>
          <w:rFonts w:cs="Arial"/>
          <w:color w:val="000000"/>
        </w:rPr>
      </w:pPr>
      <w:r>
        <w:rPr>
          <w:rFonts w:cs="Arial"/>
          <w:color w:val="000000"/>
        </w:rPr>
        <w:t>7.</w:t>
      </w:r>
      <w:r>
        <w:rPr>
          <w:rFonts w:cs="Arial"/>
          <w:color w:val="000000"/>
        </w:rPr>
        <w:tab/>
        <w:t>Any payment in cash or in kind by the employer to any person (other than the employee) or body whereby a benefit is conferred upon an employee or salaried director is liable to payroll tax.</w:t>
      </w:r>
    </w:p>
    <w:p w:rsidR="00861817" w:rsidRDefault="00861817" w:rsidP="00813353">
      <w:pPr>
        <w:adjustRightInd w:val="0"/>
        <w:ind w:left="1134"/>
        <w:rPr>
          <w:rFonts w:cs="Arial"/>
        </w:rPr>
      </w:pPr>
    </w:p>
    <w:p w:rsidR="003F56AB" w:rsidRPr="00861817" w:rsidRDefault="003F56AB" w:rsidP="00813353">
      <w:pPr>
        <w:adjustRightInd w:val="0"/>
        <w:ind w:left="1134"/>
        <w:sectPr w:rsidR="003F56AB" w:rsidRPr="00861817" w:rsidSect="00813353">
          <w:headerReference w:type="default" r:id="rId10"/>
          <w:footerReference w:type="default" r:id="rId11"/>
          <w:footerReference w:type="first" r:id="rId12"/>
          <w:pgSz w:w="11910" w:h="16840" w:code="9"/>
          <w:pgMar w:top="-9" w:right="995" w:bottom="568" w:left="0" w:header="0" w:footer="318" w:gutter="0"/>
          <w:cols w:space="720"/>
          <w:titlePg/>
          <w:docGrid w:linePitch="326"/>
        </w:sectPr>
      </w:pPr>
    </w:p>
    <w:p w:rsidR="003F56AB" w:rsidRDefault="003F56AB" w:rsidP="003F56AB">
      <w:pPr>
        <w:adjustRightInd w:val="0"/>
        <w:spacing w:before="120" w:after="120"/>
        <w:ind w:left="1418" w:hanging="567"/>
        <w:jc w:val="both"/>
        <w:rPr>
          <w:rFonts w:cs="Arial"/>
          <w:color w:val="000000"/>
        </w:rPr>
      </w:pPr>
      <w:r>
        <w:rPr>
          <w:rFonts w:cs="Arial"/>
          <w:color w:val="000000"/>
        </w:rPr>
        <w:t>8.</w:t>
      </w:r>
      <w:r>
        <w:rPr>
          <w:rFonts w:cs="Arial"/>
          <w:color w:val="000000"/>
        </w:rPr>
        <w:tab/>
        <w:t xml:space="preserve">For example, the payment of health insurance directly to a health fund by the employer as an expense of the business and not by way of deduction from the employee’s gross wages.  The latter has always been taxable as part of gross wages.  A further example is the payment by the employer to an employee’s wife or his family trust in relation to his employment. </w:t>
      </w:r>
    </w:p>
    <w:p w:rsidR="003F56AB" w:rsidRPr="003F56AB" w:rsidRDefault="003F56AB" w:rsidP="003F56AB">
      <w:pPr>
        <w:adjustRightInd w:val="0"/>
        <w:spacing w:before="120" w:after="120"/>
        <w:ind w:left="851"/>
        <w:outlineLvl w:val="1"/>
        <w:rPr>
          <w:rFonts w:cs="Arial"/>
          <w:b/>
          <w:bCs/>
          <w:color w:val="000000"/>
        </w:rPr>
      </w:pPr>
      <w:r w:rsidRPr="003F56AB">
        <w:rPr>
          <w:rFonts w:cs="Arial"/>
          <w:b/>
          <w:bCs/>
          <w:color w:val="000000"/>
        </w:rPr>
        <w:t>Interposing Partnerships, Trusts and Companies</w:t>
      </w:r>
    </w:p>
    <w:p w:rsidR="003F56AB" w:rsidRDefault="003F56AB" w:rsidP="003F56AB">
      <w:pPr>
        <w:adjustRightInd w:val="0"/>
        <w:spacing w:before="120" w:after="120"/>
        <w:ind w:left="1418" w:hanging="567"/>
        <w:jc w:val="both"/>
        <w:rPr>
          <w:rFonts w:cs="Arial"/>
          <w:color w:val="000000"/>
        </w:rPr>
      </w:pPr>
      <w:r>
        <w:rPr>
          <w:rFonts w:cs="Arial"/>
          <w:color w:val="000000"/>
        </w:rPr>
        <w:t>9.</w:t>
      </w:r>
      <w:r>
        <w:rPr>
          <w:rFonts w:cs="Arial"/>
          <w:color w:val="000000"/>
        </w:rPr>
        <w:tab/>
        <w:t>Under section 47 of the Act, the Commissioner for ACT Revenue (the Commissioner) may disregard any agreement, transaction or arrangement under which an employee performs service for which payment is made to a related third party and the effect of the arrangement is to reduce or avoid payroll tax.</w:t>
      </w:r>
    </w:p>
    <w:p w:rsidR="003F56AB" w:rsidRDefault="003F56AB" w:rsidP="003F56AB">
      <w:pPr>
        <w:adjustRightInd w:val="0"/>
        <w:spacing w:before="120" w:after="120"/>
        <w:ind w:left="1418" w:hanging="567"/>
        <w:jc w:val="both"/>
        <w:rPr>
          <w:rFonts w:cs="Arial"/>
          <w:color w:val="000000"/>
        </w:rPr>
      </w:pPr>
      <w:r>
        <w:rPr>
          <w:rFonts w:cs="Arial"/>
          <w:color w:val="000000"/>
        </w:rPr>
        <w:t>10.</w:t>
      </w:r>
      <w:r>
        <w:rPr>
          <w:rFonts w:cs="Arial"/>
          <w:color w:val="000000"/>
        </w:rPr>
        <w:tab/>
        <w:t>A typical situation which the anti-avoidance measure aims to counter is as follows:</w:t>
      </w:r>
    </w:p>
    <w:p w:rsidR="003F56AB" w:rsidRDefault="003F56AB" w:rsidP="003F56AB">
      <w:pPr>
        <w:adjustRightInd w:val="0"/>
        <w:spacing w:before="120" w:after="120"/>
        <w:ind w:left="1701"/>
        <w:jc w:val="both"/>
        <w:rPr>
          <w:rFonts w:cs="Arial"/>
          <w:color w:val="000000"/>
        </w:rPr>
      </w:pPr>
      <w:r>
        <w:rPr>
          <w:rFonts w:cs="Arial"/>
          <w:color w:val="000000"/>
        </w:rPr>
        <w:t>A trust, partnership or company enters into an agreement with the employer to provide certain services.  The employee agrees to work for that trust, partnership or company instead of for the employer.  The payments for the services rendered are then paid to the trust, partnership or company, which is related to the employee.  By this method no employer/employee relationship arises under the Act and therefore the payments made to the trust, partnership or company are not wages liable to payroll tax.</w:t>
      </w:r>
    </w:p>
    <w:p w:rsidR="003F56AB" w:rsidRDefault="003F56AB" w:rsidP="003F56AB">
      <w:pPr>
        <w:adjustRightInd w:val="0"/>
        <w:spacing w:before="120" w:after="120"/>
        <w:ind w:left="1418" w:hanging="567"/>
        <w:jc w:val="both"/>
        <w:rPr>
          <w:rFonts w:cs="Arial"/>
          <w:color w:val="000000"/>
        </w:rPr>
      </w:pPr>
      <w:r>
        <w:rPr>
          <w:rFonts w:cs="Arial"/>
          <w:color w:val="000000"/>
        </w:rPr>
        <w:t>11.</w:t>
      </w:r>
      <w:r>
        <w:rPr>
          <w:rFonts w:cs="Arial"/>
          <w:color w:val="000000"/>
        </w:rPr>
        <w:tab/>
        <w:t xml:space="preserve">If the effect is to reduce or avoid payroll tax the Commissioner may deem a party to the arrangement to be an employer and any payment made under the arrangement to be wages for the purpose of the Act.  </w:t>
      </w:r>
    </w:p>
    <w:p w:rsidR="003F56AB" w:rsidRDefault="003F56AB" w:rsidP="003F56AB">
      <w:pPr>
        <w:adjustRightInd w:val="0"/>
        <w:spacing w:before="120" w:after="120"/>
        <w:ind w:left="1418" w:hanging="567"/>
        <w:jc w:val="both"/>
        <w:rPr>
          <w:rFonts w:cs="Arial"/>
          <w:color w:val="000000"/>
        </w:rPr>
      </w:pPr>
      <w:r>
        <w:rPr>
          <w:rFonts w:cs="Arial"/>
          <w:color w:val="000000"/>
        </w:rPr>
        <w:t>12.</w:t>
      </w:r>
      <w:r>
        <w:rPr>
          <w:rFonts w:cs="Arial"/>
          <w:color w:val="000000"/>
        </w:rPr>
        <w:tab/>
        <w:t>Payroll tax will therefore be assessed on the amounts of those payments. The section applies to such agreements, transactions or arrangements whether in writing or otherwise.</w:t>
      </w:r>
    </w:p>
    <w:p w:rsidR="003F56AB" w:rsidRDefault="003F56AB" w:rsidP="003F56AB">
      <w:pPr>
        <w:adjustRightInd w:val="0"/>
        <w:ind w:left="851"/>
        <w:rPr>
          <w:rFonts w:cs="Arial"/>
          <w:color w:val="000000"/>
          <w:lang w:eastAsia="en-US"/>
        </w:rPr>
      </w:pPr>
    </w:p>
    <w:p w:rsidR="003F56AB" w:rsidRDefault="003F56AB" w:rsidP="003F56AB">
      <w:pPr>
        <w:adjustRightInd w:val="0"/>
        <w:ind w:left="851"/>
        <w:rPr>
          <w:rFonts w:cs="Arial"/>
          <w:bCs/>
        </w:rPr>
      </w:pPr>
      <w:r>
        <w:rPr>
          <w:rFonts w:cs="Arial"/>
          <w:bCs/>
        </w:rPr>
        <w:t>SIGNED</w:t>
      </w:r>
    </w:p>
    <w:p w:rsidR="003F56AB" w:rsidRDefault="003F56AB" w:rsidP="003F56AB">
      <w:pPr>
        <w:adjustRightInd w:val="0"/>
        <w:ind w:left="851"/>
        <w:rPr>
          <w:rFonts w:cs="Arial"/>
          <w:bCs/>
        </w:rPr>
      </w:pPr>
    </w:p>
    <w:p w:rsidR="003F56AB" w:rsidRDefault="003F56AB" w:rsidP="003F56AB">
      <w:pPr>
        <w:adjustRightInd w:val="0"/>
        <w:ind w:left="851"/>
        <w:rPr>
          <w:rFonts w:cs="Arial"/>
          <w:bCs/>
        </w:rPr>
      </w:pPr>
      <w:r>
        <w:rPr>
          <w:rFonts w:cs="Arial"/>
          <w:bCs/>
        </w:rPr>
        <w:t>David Read</w:t>
      </w:r>
    </w:p>
    <w:p w:rsidR="003F56AB" w:rsidRDefault="003F56AB" w:rsidP="003F56AB">
      <w:pPr>
        <w:adjustRightInd w:val="0"/>
        <w:ind w:left="851"/>
        <w:rPr>
          <w:rFonts w:cs="Arial"/>
        </w:rPr>
      </w:pPr>
      <w:r>
        <w:rPr>
          <w:rFonts w:cs="Arial"/>
        </w:rPr>
        <w:t>Commissioner for ACT Revenue</w:t>
      </w:r>
    </w:p>
    <w:p w:rsidR="003F56AB" w:rsidRDefault="003F56AB" w:rsidP="003F56AB">
      <w:pPr>
        <w:adjustRightInd w:val="0"/>
        <w:ind w:left="851"/>
        <w:rPr>
          <w:rFonts w:cs="Arial"/>
        </w:rPr>
      </w:pPr>
      <w:r>
        <w:rPr>
          <w:rFonts w:cs="Arial"/>
        </w:rPr>
        <w:t xml:space="preserve">30 June 2011 </w:t>
      </w:r>
    </w:p>
    <w:p w:rsidR="00C75578" w:rsidRPr="000715D3" w:rsidRDefault="00C75578" w:rsidP="003F56AB">
      <w:pPr>
        <w:adjustRightInd w:val="0"/>
        <w:spacing w:before="60" w:after="60"/>
        <w:ind w:left="851"/>
        <w:jc w:val="both"/>
        <w:rPr>
          <w:rFonts w:cs="Arial"/>
        </w:rPr>
      </w:pPr>
    </w:p>
    <w:sectPr w:rsidR="00C75578" w:rsidRPr="000715D3" w:rsidSect="008A28D0">
      <w:footerReference w:type="even" r:id="rId13"/>
      <w:footerReference w:type="default" r:id="rId14"/>
      <w:headerReference w:type="first" r:id="rId15"/>
      <w:footerReference w:type="first" r:id="rId16"/>
      <w:pgSz w:w="11910" w:h="16840" w:code="9"/>
      <w:pgMar w:top="851" w:right="1278"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7B" w:rsidRDefault="007B467B" w:rsidP="005B0828">
      <w:r>
        <w:separator/>
      </w:r>
    </w:p>
  </w:endnote>
  <w:endnote w:type="continuationSeparator" w:id="0">
    <w:p w:rsidR="007B467B" w:rsidRDefault="007B467B"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F44A8D" w:rsidRDefault="007B467B"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3C71F0" w:rsidP="007B467B">
    <w:pPr>
      <w:pStyle w:val="Footer"/>
      <w:framePr w:wrap="around" w:vAnchor="text" w:hAnchor="margin" w:xAlign="center" w:y="1"/>
      <w:rPr>
        <w:rStyle w:val="PageNumber"/>
      </w:rPr>
    </w:pPr>
    <w:r>
      <w:rPr>
        <w:rStyle w:val="PageNumber"/>
      </w:rPr>
      <w:fldChar w:fldCharType="begin"/>
    </w:r>
    <w:r w:rsidR="007B467B">
      <w:rPr>
        <w:rStyle w:val="PageNumber"/>
      </w:rPr>
      <w:instrText xml:space="preserve">PAGE  </w:instrText>
    </w:r>
    <w:r>
      <w:rPr>
        <w:rStyle w:val="PageNumber"/>
      </w:rPr>
      <w:fldChar w:fldCharType="end"/>
    </w:r>
  </w:p>
  <w:p w:rsidR="007B467B" w:rsidRDefault="007B46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7B467B">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51247" w:rsidP="007B467B">
    <w:pPr>
      <w:pStyle w:val="Footer"/>
      <w:jc w:val="right"/>
    </w:pPr>
    <w:r>
      <w:fldChar w:fldCharType="begin"/>
    </w:r>
    <w:r>
      <w:instrText xml:space="preserve"> PAGE   \* MERGEFORMAT </w:instrText>
    </w:r>
    <w:r>
      <w:fldChar w:fldCharType="separate"/>
    </w:r>
    <w:r w:rsidR="00576D5C">
      <w:rPr>
        <w:noProof/>
      </w:rPr>
      <w:t>12</w:t>
    </w:r>
    <w:r>
      <w:rPr>
        <w:noProof/>
      </w:rPr>
      <w:fldChar w:fldCharType="end"/>
    </w:r>
  </w:p>
  <w:p w:rsidR="007B467B" w:rsidRPr="004F46AC" w:rsidRDefault="007B467B">
    <w:pPr>
      <w:pStyle w:val="Footer"/>
      <w:rPr>
        <w:rFonts w:cs="Arial"/>
        <w:color w:val="FFFFFF"/>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7B" w:rsidRDefault="007B467B" w:rsidP="005B0828">
      <w:r w:rsidRPr="005B0828">
        <w:rPr>
          <w:color w:val="000000"/>
        </w:rPr>
        <w:separator/>
      </w:r>
    </w:p>
  </w:footnote>
  <w:footnote w:type="continuationSeparator" w:id="0">
    <w:p w:rsidR="007B467B" w:rsidRDefault="007B467B"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822F9C">
    <w:pPr>
      <w:pStyle w:val="Header"/>
      <w:tabs>
        <w:tab w:val="clear" w:pos="4513"/>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7110A2" w:rsidRDefault="007B467B" w:rsidP="007B4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1C1345C5"/>
    <w:multiLevelType w:val="hybridMultilevel"/>
    <w:tmpl w:val="40D24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C285FE2"/>
    <w:multiLevelType w:val="hybridMultilevel"/>
    <w:tmpl w:val="461AC20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nsid w:val="2255574B"/>
    <w:multiLevelType w:val="hybridMultilevel"/>
    <w:tmpl w:val="22C2DB4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nsid w:val="3DBB66AF"/>
    <w:multiLevelType w:val="hybridMultilevel"/>
    <w:tmpl w:val="38C8D392"/>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7">
    <w:nsid w:val="3FAA0D49"/>
    <w:multiLevelType w:val="hybridMultilevel"/>
    <w:tmpl w:val="74E4EB90"/>
    <w:lvl w:ilvl="0" w:tplc="0C090001">
      <w:start w:val="1"/>
      <w:numFmt w:val="bullet"/>
      <w:lvlText w:val=""/>
      <w:lvlJc w:val="left"/>
      <w:pPr>
        <w:tabs>
          <w:tab w:val="num" w:pos="1353"/>
        </w:tabs>
        <w:ind w:left="1353" w:hanging="360"/>
      </w:pPr>
      <w:rPr>
        <w:rFonts w:ascii="Symbol" w:hAnsi="Symbol" w:hint="default"/>
      </w:rPr>
    </w:lvl>
    <w:lvl w:ilvl="1" w:tplc="0C090003">
      <w:start w:val="1"/>
      <w:numFmt w:val="bullet"/>
      <w:lvlText w:val="o"/>
      <w:lvlJc w:val="left"/>
      <w:pPr>
        <w:tabs>
          <w:tab w:val="num" w:pos="2073"/>
        </w:tabs>
        <w:ind w:left="2073" w:hanging="360"/>
      </w:pPr>
      <w:rPr>
        <w:rFonts w:ascii="Courier New" w:hAnsi="Courier New" w:hint="default"/>
      </w:rPr>
    </w:lvl>
    <w:lvl w:ilvl="2" w:tplc="0C090005">
      <w:start w:val="1"/>
      <w:numFmt w:val="bullet"/>
      <w:lvlText w:val=""/>
      <w:lvlJc w:val="left"/>
      <w:pPr>
        <w:tabs>
          <w:tab w:val="num" w:pos="2793"/>
        </w:tabs>
        <w:ind w:left="2793" w:hanging="360"/>
      </w:pPr>
      <w:rPr>
        <w:rFonts w:ascii="Wingdings" w:hAnsi="Wingdings" w:hint="default"/>
      </w:rPr>
    </w:lvl>
    <w:lvl w:ilvl="3" w:tplc="0C090001" w:tentative="1">
      <w:start w:val="1"/>
      <w:numFmt w:val="bullet"/>
      <w:lvlText w:val=""/>
      <w:lvlJc w:val="left"/>
      <w:pPr>
        <w:tabs>
          <w:tab w:val="num" w:pos="3513"/>
        </w:tabs>
        <w:ind w:left="3513" w:hanging="360"/>
      </w:pPr>
      <w:rPr>
        <w:rFonts w:ascii="Symbol" w:hAnsi="Symbol" w:hint="default"/>
      </w:rPr>
    </w:lvl>
    <w:lvl w:ilvl="4" w:tplc="0C090003" w:tentative="1">
      <w:start w:val="1"/>
      <w:numFmt w:val="bullet"/>
      <w:lvlText w:val="o"/>
      <w:lvlJc w:val="left"/>
      <w:pPr>
        <w:tabs>
          <w:tab w:val="num" w:pos="4233"/>
        </w:tabs>
        <w:ind w:left="4233" w:hanging="360"/>
      </w:pPr>
      <w:rPr>
        <w:rFonts w:ascii="Courier New" w:hAnsi="Courier New" w:hint="default"/>
      </w:rPr>
    </w:lvl>
    <w:lvl w:ilvl="5" w:tplc="0C090005" w:tentative="1">
      <w:start w:val="1"/>
      <w:numFmt w:val="bullet"/>
      <w:lvlText w:val=""/>
      <w:lvlJc w:val="left"/>
      <w:pPr>
        <w:tabs>
          <w:tab w:val="num" w:pos="4953"/>
        </w:tabs>
        <w:ind w:left="4953" w:hanging="360"/>
      </w:pPr>
      <w:rPr>
        <w:rFonts w:ascii="Wingdings" w:hAnsi="Wingdings" w:hint="default"/>
      </w:rPr>
    </w:lvl>
    <w:lvl w:ilvl="6" w:tplc="0C090001" w:tentative="1">
      <w:start w:val="1"/>
      <w:numFmt w:val="bullet"/>
      <w:lvlText w:val=""/>
      <w:lvlJc w:val="left"/>
      <w:pPr>
        <w:tabs>
          <w:tab w:val="num" w:pos="5673"/>
        </w:tabs>
        <w:ind w:left="5673" w:hanging="360"/>
      </w:pPr>
      <w:rPr>
        <w:rFonts w:ascii="Symbol" w:hAnsi="Symbol" w:hint="default"/>
      </w:rPr>
    </w:lvl>
    <w:lvl w:ilvl="7" w:tplc="0C090003" w:tentative="1">
      <w:start w:val="1"/>
      <w:numFmt w:val="bullet"/>
      <w:lvlText w:val="o"/>
      <w:lvlJc w:val="left"/>
      <w:pPr>
        <w:tabs>
          <w:tab w:val="num" w:pos="6393"/>
        </w:tabs>
        <w:ind w:left="6393" w:hanging="360"/>
      </w:pPr>
      <w:rPr>
        <w:rFonts w:ascii="Courier New" w:hAnsi="Courier New" w:hint="default"/>
      </w:rPr>
    </w:lvl>
    <w:lvl w:ilvl="8" w:tplc="0C090005" w:tentative="1">
      <w:start w:val="1"/>
      <w:numFmt w:val="bullet"/>
      <w:lvlText w:val=""/>
      <w:lvlJc w:val="left"/>
      <w:pPr>
        <w:tabs>
          <w:tab w:val="num" w:pos="7113"/>
        </w:tabs>
        <w:ind w:left="7113" w:hanging="360"/>
      </w:pPr>
      <w:rPr>
        <w:rFonts w:ascii="Wingdings" w:hAnsi="Wingdings" w:hint="default"/>
      </w:rPr>
    </w:lvl>
  </w:abstractNum>
  <w:abstractNum w:abstractNumId="8">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nsid w:val="49DF2C45"/>
    <w:multiLevelType w:val="hybridMultilevel"/>
    <w:tmpl w:val="E256B0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D170C23"/>
    <w:multiLevelType w:val="hybridMultilevel"/>
    <w:tmpl w:val="8F6EF0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E3728FA"/>
    <w:multiLevelType w:val="hybridMultilevel"/>
    <w:tmpl w:val="37C4C5B2"/>
    <w:lvl w:ilvl="0" w:tplc="FCBEB9FA">
      <w:start w:val="51"/>
      <w:numFmt w:val="bullet"/>
      <w:lvlText w:val="•"/>
      <w:lvlJc w:val="left"/>
      <w:pPr>
        <w:ind w:left="1069" w:hanging="360"/>
      </w:pPr>
      <w:rPr>
        <w:rFonts w:ascii="Calibri" w:eastAsia="Times New Roman" w:hAnsi="Calibri" w:cs="SymbolMT"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nsid w:val="5ECB59DF"/>
    <w:multiLevelType w:val="hybridMultilevel"/>
    <w:tmpl w:val="F904D25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nsid w:val="60334DD5"/>
    <w:multiLevelType w:val="hybridMultilevel"/>
    <w:tmpl w:val="47D07F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7A87087"/>
    <w:multiLevelType w:val="hybridMultilevel"/>
    <w:tmpl w:val="67E666C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7AE20D07"/>
    <w:multiLevelType w:val="hybridMultilevel"/>
    <w:tmpl w:val="D3A02E9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5"/>
  </w:num>
  <w:num w:numId="6">
    <w:abstractNumId w:val="10"/>
  </w:num>
  <w:num w:numId="7">
    <w:abstractNumId w:val="2"/>
  </w:num>
  <w:num w:numId="8">
    <w:abstractNumId w:val="14"/>
  </w:num>
  <w:num w:numId="9">
    <w:abstractNumId w:val="13"/>
  </w:num>
  <w:num w:numId="10">
    <w:abstractNumId w:val="9"/>
  </w:num>
  <w:num w:numId="11">
    <w:abstractNumId w:val="4"/>
  </w:num>
  <w:num w:numId="12">
    <w:abstractNumId w:val="15"/>
  </w:num>
  <w:num w:numId="13">
    <w:abstractNumId w:val="7"/>
  </w:num>
  <w:num w:numId="14">
    <w:abstractNumId w:val="3"/>
  </w:num>
  <w:num w:numId="15">
    <w:abstractNumId w:val="12"/>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63029"/>
    <w:rsid w:val="000D649E"/>
    <w:rsid w:val="000D64C3"/>
    <w:rsid w:val="00105197"/>
    <w:rsid w:val="00163CCB"/>
    <w:rsid w:val="00193116"/>
    <w:rsid w:val="001B5315"/>
    <w:rsid w:val="00210C1D"/>
    <w:rsid w:val="002240B1"/>
    <w:rsid w:val="002265B2"/>
    <w:rsid w:val="00244887"/>
    <w:rsid w:val="002713A8"/>
    <w:rsid w:val="00275FAE"/>
    <w:rsid w:val="002F22A2"/>
    <w:rsid w:val="0030677F"/>
    <w:rsid w:val="00310E54"/>
    <w:rsid w:val="00341AF6"/>
    <w:rsid w:val="00391CB7"/>
    <w:rsid w:val="003A7949"/>
    <w:rsid w:val="003C71F0"/>
    <w:rsid w:val="003D623B"/>
    <w:rsid w:val="003E285F"/>
    <w:rsid w:val="003F56AB"/>
    <w:rsid w:val="004262BA"/>
    <w:rsid w:val="0046639F"/>
    <w:rsid w:val="004B4230"/>
    <w:rsid w:val="004C477A"/>
    <w:rsid w:val="004E2F43"/>
    <w:rsid w:val="004E4136"/>
    <w:rsid w:val="004E577D"/>
    <w:rsid w:val="00537051"/>
    <w:rsid w:val="00576D5C"/>
    <w:rsid w:val="005B0828"/>
    <w:rsid w:val="00682A86"/>
    <w:rsid w:val="00692CD4"/>
    <w:rsid w:val="006B0ECA"/>
    <w:rsid w:val="006B2035"/>
    <w:rsid w:val="006C493C"/>
    <w:rsid w:val="00712A2B"/>
    <w:rsid w:val="00751247"/>
    <w:rsid w:val="00767E92"/>
    <w:rsid w:val="00773F5B"/>
    <w:rsid w:val="007B467B"/>
    <w:rsid w:val="007C2327"/>
    <w:rsid w:val="00813353"/>
    <w:rsid w:val="00822F9C"/>
    <w:rsid w:val="00861817"/>
    <w:rsid w:val="008A28D0"/>
    <w:rsid w:val="008A72D3"/>
    <w:rsid w:val="008B1CDE"/>
    <w:rsid w:val="008E4C38"/>
    <w:rsid w:val="0096709E"/>
    <w:rsid w:val="009955D1"/>
    <w:rsid w:val="00A17F5F"/>
    <w:rsid w:val="00A50562"/>
    <w:rsid w:val="00A61156"/>
    <w:rsid w:val="00A812EA"/>
    <w:rsid w:val="00AA3E6E"/>
    <w:rsid w:val="00AD4741"/>
    <w:rsid w:val="00AF7801"/>
    <w:rsid w:val="00B4488E"/>
    <w:rsid w:val="00B87EF3"/>
    <w:rsid w:val="00BB2D4C"/>
    <w:rsid w:val="00BB7D19"/>
    <w:rsid w:val="00BE0B6D"/>
    <w:rsid w:val="00BF57BC"/>
    <w:rsid w:val="00BF64D2"/>
    <w:rsid w:val="00C24521"/>
    <w:rsid w:val="00C75578"/>
    <w:rsid w:val="00C82405"/>
    <w:rsid w:val="00C8554F"/>
    <w:rsid w:val="00CB09ED"/>
    <w:rsid w:val="00CD0ACD"/>
    <w:rsid w:val="00CD6913"/>
    <w:rsid w:val="00D908F9"/>
    <w:rsid w:val="00D93CB9"/>
    <w:rsid w:val="00DA0B26"/>
    <w:rsid w:val="00DA6ED5"/>
    <w:rsid w:val="00DF7ECB"/>
    <w:rsid w:val="00F44A8D"/>
    <w:rsid w:val="00F80CEA"/>
    <w:rsid w:val="00F82204"/>
    <w:rsid w:val="00F965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252205054">
      <w:bodyDiv w:val="1"/>
      <w:marLeft w:val="0"/>
      <w:marRight w:val="0"/>
      <w:marTop w:val="0"/>
      <w:marBottom w:val="0"/>
      <w:divBdr>
        <w:top w:val="none" w:sz="0" w:space="0" w:color="auto"/>
        <w:left w:val="none" w:sz="0" w:space="0" w:color="auto"/>
        <w:bottom w:val="none" w:sz="0" w:space="0" w:color="auto"/>
        <w:right w:val="none" w:sz="0" w:space="0" w:color="auto"/>
      </w:divBdr>
    </w:div>
    <w:div w:id="395517441">
      <w:bodyDiv w:val="1"/>
      <w:marLeft w:val="0"/>
      <w:marRight w:val="0"/>
      <w:marTop w:val="0"/>
      <w:marBottom w:val="0"/>
      <w:divBdr>
        <w:top w:val="none" w:sz="0" w:space="0" w:color="auto"/>
        <w:left w:val="none" w:sz="0" w:space="0" w:color="auto"/>
        <w:bottom w:val="none" w:sz="0" w:space="0" w:color="auto"/>
        <w:right w:val="none" w:sz="0" w:space="0" w:color="auto"/>
      </w:divBdr>
    </w:div>
    <w:div w:id="458499927">
      <w:bodyDiv w:val="1"/>
      <w:marLeft w:val="0"/>
      <w:marRight w:val="0"/>
      <w:marTop w:val="0"/>
      <w:marBottom w:val="0"/>
      <w:divBdr>
        <w:top w:val="none" w:sz="0" w:space="0" w:color="auto"/>
        <w:left w:val="none" w:sz="0" w:space="0" w:color="auto"/>
        <w:bottom w:val="none" w:sz="0" w:space="0" w:color="auto"/>
        <w:right w:val="none" w:sz="0" w:space="0" w:color="auto"/>
      </w:divBdr>
    </w:div>
    <w:div w:id="472018133">
      <w:bodyDiv w:val="1"/>
      <w:marLeft w:val="0"/>
      <w:marRight w:val="0"/>
      <w:marTop w:val="0"/>
      <w:marBottom w:val="0"/>
      <w:divBdr>
        <w:top w:val="none" w:sz="0" w:space="0" w:color="auto"/>
        <w:left w:val="none" w:sz="0" w:space="0" w:color="auto"/>
        <w:bottom w:val="none" w:sz="0" w:space="0" w:color="auto"/>
        <w:right w:val="none" w:sz="0" w:space="0" w:color="auto"/>
      </w:divBdr>
    </w:div>
    <w:div w:id="732235709">
      <w:bodyDiv w:val="1"/>
      <w:marLeft w:val="0"/>
      <w:marRight w:val="0"/>
      <w:marTop w:val="0"/>
      <w:marBottom w:val="0"/>
      <w:divBdr>
        <w:top w:val="none" w:sz="0" w:space="0" w:color="auto"/>
        <w:left w:val="none" w:sz="0" w:space="0" w:color="auto"/>
        <w:bottom w:val="none" w:sz="0" w:space="0" w:color="auto"/>
        <w:right w:val="none" w:sz="0" w:space="0" w:color="auto"/>
      </w:divBdr>
    </w:div>
    <w:div w:id="764349603">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005937381">
      <w:bodyDiv w:val="1"/>
      <w:marLeft w:val="0"/>
      <w:marRight w:val="0"/>
      <w:marTop w:val="0"/>
      <w:marBottom w:val="0"/>
      <w:divBdr>
        <w:top w:val="none" w:sz="0" w:space="0" w:color="auto"/>
        <w:left w:val="none" w:sz="0" w:space="0" w:color="auto"/>
        <w:bottom w:val="none" w:sz="0" w:space="0" w:color="auto"/>
        <w:right w:val="none" w:sz="0" w:space="0" w:color="auto"/>
      </w:divBdr>
    </w:div>
    <w:div w:id="1083843904">
      <w:bodyDiv w:val="1"/>
      <w:marLeft w:val="0"/>
      <w:marRight w:val="0"/>
      <w:marTop w:val="0"/>
      <w:marBottom w:val="0"/>
      <w:divBdr>
        <w:top w:val="none" w:sz="0" w:space="0" w:color="auto"/>
        <w:left w:val="none" w:sz="0" w:space="0" w:color="auto"/>
        <w:bottom w:val="none" w:sz="0" w:space="0" w:color="auto"/>
        <w:right w:val="none" w:sz="0" w:space="0" w:color="auto"/>
      </w:divBdr>
    </w:div>
    <w:div w:id="1192837148">
      <w:bodyDiv w:val="1"/>
      <w:marLeft w:val="0"/>
      <w:marRight w:val="0"/>
      <w:marTop w:val="0"/>
      <w:marBottom w:val="0"/>
      <w:divBdr>
        <w:top w:val="none" w:sz="0" w:space="0" w:color="auto"/>
        <w:left w:val="none" w:sz="0" w:space="0" w:color="auto"/>
        <w:bottom w:val="none" w:sz="0" w:space="0" w:color="auto"/>
        <w:right w:val="none" w:sz="0" w:space="0" w:color="auto"/>
      </w:divBdr>
    </w:div>
    <w:div w:id="1318800639">
      <w:bodyDiv w:val="1"/>
      <w:marLeft w:val="0"/>
      <w:marRight w:val="0"/>
      <w:marTop w:val="0"/>
      <w:marBottom w:val="0"/>
      <w:divBdr>
        <w:top w:val="none" w:sz="0" w:space="0" w:color="auto"/>
        <w:left w:val="none" w:sz="0" w:space="0" w:color="auto"/>
        <w:bottom w:val="none" w:sz="0" w:space="0" w:color="auto"/>
        <w:right w:val="none" w:sz="0" w:space="0" w:color="auto"/>
      </w:divBdr>
    </w:div>
    <w:div w:id="1357845620">
      <w:bodyDiv w:val="1"/>
      <w:marLeft w:val="0"/>
      <w:marRight w:val="0"/>
      <w:marTop w:val="0"/>
      <w:marBottom w:val="0"/>
      <w:divBdr>
        <w:top w:val="none" w:sz="0" w:space="0" w:color="auto"/>
        <w:left w:val="none" w:sz="0" w:space="0" w:color="auto"/>
        <w:bottom w:val="none" w:sz="0" w:space="0" w:color="auto"/>
        <w:right w:val="none" w:sz="0" w:space="0" w:color="auto"/>
      </w:divBdr>
    </w:div>
    <w:div w:id="1422988219">
      <w:bodyDiv w:val="1"/>
      <w:marLeft w:val="0"/>
      <w:marRight w:val="0"/>
      <w:marTop w:val="0"/>
      <w:marBottom w:val="0"/>
      <w:divBdr>
        <w:top w:val="none" w:sz="0" w:space="0" w:color="auto"/>
        <w:left w:val="none" w:sz="0" w:space="0" w:color="auto"/>
        <w:bottom w:val="none" w:sz="0" w:space="0" w:color="auto"/>
        <w:right w:val="none" w:sz="0" w:space="0" w:color="auto"/>
      </w:divBdr>
    </w:div>
    <w:div w:id="1454979765">
      <w:bodyDiv w:val="1"/>
      <w:marLeft w:val="0"/>
      <w:marRight w:val="0"/>
      <w:marTop w:val="0"/>
      <w:marBottom w:val="0"/>
      <w:divBdr>
        <w:top w:val="none" w:sz="0" w:space="0" w:color="auto"/>
        <w:left w:val="none" w:sz="0" w:space="0" w:color="auto"/>
        <w:bottom w:val="none" w:sz="0" w:space="0" w:color="auto"/>
        <w:right w:val="none" w:sz="0" w:space="0" w:color="auto"/>
      </w:divBdr>
    </w:div>
    <w:div w:id="1474829291">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7069">
      <w:bodyDiv w:val="1"/>
      <w:marLeft w:val="0"/>
      <w:marRight w:val="0"/>
      <w:marTop w:val="0"/>
      <w:marBottom w:val="0"/>
      <w:divBdr>
        <w:top w:val="none" w:sz="0" w:space="0" w:color="auto"/>
        <w:left w:val="none" w:sz="0" w:space="0" w:color="auto"/>
        <w:bottom w:val="none" w:sz="0" w:space="0" w:color="auto"/>
        <w:right w:val="none" w:sz="0" w:space="0" w:color="auto"/>
      </w:divBdr>
    </w:div>
    <w:div w:id="1580094226">
      <w:bodyDiv w:val="1"/>
      <w:marLeft w:val="0"/>
      <w:marRight w:val="0"/>
      <w:marTop w:val="0"/>
      <w:marBottom w:val="0"/>
      <w:divBdr>
        <w:top w:val="none" w:sz="0" w:space="0" w:color="auto"/>
        <w:left w:val="none" w:sz="0" w:space="0" w:color="auto"/>
        <w:bottom w:val="none" w:sz="0" w:space="0" w:color="auto"/>
        <w:right w:val="none" w:sz="0" w:space="0" w:color="auto"/>
      </w:divBdr>
    </w:div>
    <w:div w:id="1595750641">
      <w:bodyDiv w:val="1"/>
      <w:marLeft w:val="0"/>
      <w:marRight w:val="0"/>
      <w:marTop w:val="0"/>
      <w:marBottom w:val="0"/>
      <w:divBdr>
        <w:top w:val="none" w:sz="0" w:space="0" w:color="auto"/>
        <w:left w:val="none" w:sz="0" w:space="0" w:color="auto"/>
        <w:bottom w:val="none" w:sz="0" w:space="0" w:color="auto"/>
        <w:right w:val="none" w:sz="0" w:space="0" w:color="auto"/>
      </w:divBdr>
    </w:div>
    <w:div w:id="1655523149">
      <w:bodyDiv w:val="1"/>
      <w:marLeft w:val="0"/>
      <w:marRight w:val="0"/>
      <w:marTop w:val="0"/>
      <w:marBottom w:val="0"/>
      <w:divBdr>
        <w:top w:val="none" w:sz="0" w:space="0" w:color="auto"/>
        <w:left w:val="none" w:sz="0" w:space="0" w:color="auto"/>
        <w:bottom w:val="none" w:sz="0" w:space="0" w:color="auto"/>
        <w:right w:val="none" w:sz="0" w:space="0" w:color="auto"/>
      </w:divBdr>
    </w:div>
    <w:div w:id="1816407576">
      <w:bodyDiv w:val="1"/>
      <w:marLeft w:val="0"/>
      <w:marRight w:val="0"/>
      <w:marTop w:val="0"/>
      <w:marBottom w:val="0"/>
      <w:divBdr>
        <w:top w:val="none" w:sz="0" w:space="0" w:color="auto"/>
        <w:left w:val="none" w:sz="0" w:space="0" w:color="auto"/>
        <w:bottom w:val="none" w:sz="0" w:space="0" w:color="auto"/>
        <w:right w:val="none" w:sz="0" w:space="0" w:color="auto"/>
      </w:divBdr>
    </w:div>
    <w:div w:id="1905026389">
      <w:bodyDiv w:val="1"/>
      <w:marLeft w:val="0"/>
      <w:marRight w:val="0"/>
      <w:marTop w:val="0"/>
      <w:marBottom w:val="0"/>
      <w:divBdr>
        <w:top w:val="none" w:sz="0" w:space="0" w:color="auto"/>
        <w:left w:val="none" w:sz="0" w:space="0" w:color="auto"/>
        <w:bottom w:val="none" w:sz="0" w:space="0" w:color="auto"/>
        <w:right w:val="none" w:sz="0" w:space="0" w:color="auto"/>
      </w:divBdr>
    </w:div>
    <w:div w:id="201159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7AE59-91A6-44CD-A671-688AF5C8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Teja</cp:lastModifiedBy>
  <cp:revision>4</cp:revision>
  <cp:lastPrinted>2017-05-08T23:51:00Z</cp:lastPrinted>
  <dcterms:created xsi:type="dcterms:W3CDTF">2017-05-20T12:05:00Z</dcterms:created>
  <dcterms:modified xsi:type="dcterms:W3CDTF">2017-05-20T12:11:00Z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