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634B8F" w:rsidP="00AD4741">
            <w:pPr>
              <w:jc w:val="both"/>
              <w:rPr>
                <w:b/>
                <w:lang w:eastAsia="en-US"/>
              </w:rPr>
            </w:pPr>
            <w:r>
              <w:rPr>
                <w:b/>
                <w:lang w:eastAsia="en-US"/>
              </w:rPr>
              <w:t>REVENUE CIRCULAR GEN007</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634B8F" w:rsidRDefault="00634B8F" w:rsidP="00FE7A58">
            <w:pPr>
              <w:jc w:val="both"/>
              <w:rPr>
                <w:i/>
                <w:lang w:eastAsia="en-US"/>
              </w:rPr>
            </w:pPr>
            <w:proofErr w:type="spellStart"/>
            <w:r>
              <w:rPr>
                <w:i/>
                <w:lang w:eastAsia="en-US"/>
              </w:rPr>
              <w:t>Allders</w:t>
            </w:r>
            <w:proofErr w:type="spellEnd"/>
            <w:r>
              <w:rPr>
                <w:i/>
                <w:lang w:eastAsia="en-US"/>
              </w:rPr>
              <w:t xml:space="preserve"> International Pty Ltd v Commissioner of State Revenue</w:t>
            </w:r>
            <w:r w:rsidR="00FE7A58" w:rsidRPr="00634B8F">
              <w:rPr>
                <w:i/>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34B8F">
            <w:pPr>
              <w:jc w:val="both"/>
              <w:rPr>
                <w:lang w:eastAsia="en-US"/>
              </w:rPr>
            </w:pPr>
            <w:r>
              <w:rPr>
                <w:lang w:eastAsia="en-US"/>
              </w:rPr>
              <w:t xml:space="preserve">Issue Date: </w:t>
            </w:r>
            <w:r w:rsidR="00634B8F">
              <w:rPr>
                <w:lang w:eastAsia="en-US"/>
              </w:rPr>
              <w:t xml:space="preserve">30 June 2008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34B8F">
            <w:pPr>
              <w:jc w:val="both"/>
            </w:pPr>
            <w:r>
              <w:t>Status: Current</w:t>
            </w:r>
            <w:r w:rsidR="00BB7D19">
              <w:t xml:space="preserve"> – Effective </w:t>
            </w:r>
            <w:r w:rsidR="00634B8F">
              <w:t>17 September 1997</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634B8F">
            <w:pPr>
              <w:jc w:val="both"/>
            </w:pPr>
            <w:r>
              <w:t xml:space="preserve">Previous Circular: </w:t>
            </w:r>
            <w:r w:rsidR="00634B8F">
              <w:t>No 60</w:t>
            </w:r>
          </w:p>
        </w:tc>
      </w:tr>
    </w:tbl>
    <w:p w:rsidR="00F44A8D" w:rsidRPr="00AD4741" w:rsidRDefault="00BB7D19" w:rsidP="00BB7D19">
      <w:pPr>
        <w:pStyle w:val="Heading1"/>
        <w:spacing w:before="120" w:after="120" w:line="240" w:lineRule="auto"/>
        <w:ind w:left="1701" w:hanging="567"/>
        <w:jc w:val="both"/>
      </w:pPr>
      <w:r>
        <w:t>Preamble</w:t>
      </w:r>
    </w:p>
    <w:p w:rsidR="00634B8F" w:rsidRPr="00101DAF" w:rsidRDefault="00702365" w:rsidP="00634B8F">
      <w:pPr>
        <w:adjustRightInd w:val="0"/>
        <w:ind w:left="1701" w:hanging="567"/>
        <w:jc w:val="both"/>
        <w:rPr>
          <w:rFonts w:asciiTheme="minorHAnsi" w:hAnsiTheme="minorHAnsi" w:cs="Arial"/>
          <w:color w:val="000000"/>
          <w:sz w:val="22"/>
          <w:szCs w:val="22"/>
        </w:rPr>
      </w:pPr>
      <w:r w:rsidRPr="004B08B8">
        <w:rPr>
          <w:rFonts w:asciiTheme="minorHAnsi" w:hAnsiTheme="minorHAnsi" w:cs="Arial"/>
        </w:rPr>
        <w:t>1.</w:t>
      </w:r>
      <w:r w:rsidRPr="004B08B8">
        <w:rPr>
          <w:rFonts w:asciiTheme="minorHAnsi" w:hAnsiTheme="minorHAnsi" w:cs="Arial"/>
        </w:rPr>
        <w:tab/>
      </w:r>
      <w:r w:rsidR="00634B8F" w:rsidRPr="00101DAF">
        <w:rPr>
          <w:rFonts w:asciiTheme="minorHAnsi" w:hAnsiTheme="minorHAnsi" w:cs="Arial"/>
          <w:sz w:val="22"/>
          <w:szCs w:val="22"/>
        </w:rPr>
        <w:t>This circular</w:t>
      </w:r>
      <w:r w:rsidR="00634B8F" w:rsidRPr="00101DAF">
        <w:rPr>
          <w:rFonts w:asciiTheme="minorHAnsi" w:hAnsiTheme="minorHAnsi" w:cs="Arial"/>
          <w:color w:val="000000"/>
          <w:sz w:val="22"/>
          <w:szCs w:val="22"/>
        </w:rPr>
        <w:t xml:space="preserve"> is to advise clients of the ACT Revenue Office of the impact of the High Court decision in </w:t>
      </w:r>
      <w:proofErr w:type="spellStart"/>
      <w:r w:rsidR="00634B8F" w:rsidRPr="00101DAF">
        <w:rPr>
          <w:rFonts w:asciiTheme="minorHAnsi" w:hAnsiTheme="minorHAnsi" w:cs="Arial"/>
          <w:i/>
          <w:iCs/>
          <w:color w:val="000000"/>
          <w:sz w:val="22"/>
          <w:szCs w:val="22"/>
        </w:rPr>
        <w:t>Allders</w:t>
      </w:r>
      <w:proofErr w:type="spellEnd"/>
      <w:r w:rsidR="00634B8F" w:rsidRPr="00101DAF">
        <w:rPr>
          <w:rFonts w:asciiTheme="minorHAnsi" w:hAnsiTheme="minorHAnsi" w:cs="Arial"/>
          <w:i/>
          <w:iCs/>
          <w:color w:val="000000"/>
          <w:sz w:val="22"/>
          <w:szCs w:val="22"/>
        </w:rPr>
        <w:t xml:space="preserve"> International Pty Limited v. Commissioner of State Revenue </w:t>
      </w:r>
      <w:r w:rsidR="00634B8F" w:rsidRPr="00101DAF">
        <w:rPr>
          <w:rFonts w:asciiTheme="minorHAnsi" w:hAnsiTheme="minorHAnsi" w:cs="Arial"/>
          <w:color w:val="000000"/>
          <w:sz w:val="22"/>
          <w:szCs w:val="22"/>
        </w:rPr>
        <w:t>(</w:t>
      </w:r>
      <w:proofErr w:type="spellStart"/>
      <w:r w:rsidR="00634B8F" w:rsidRPr="00101DAF">
        <w:rPr>
          <w:rFonts w:asciiTheme="minorHAnsi" w:hAnsiTheme="minorHAnsi" w:cs="Arial"/>
          <w:i/>
          <w:iCs/>
          <w:color w:val="000000"/>
          <w:sz w:val="22"/>
          <w:szCs w:val="22"/>
        </w:rPr>
        <w:t>Allders</w:t>
      </w:r>
      <w:proofErr w:type="spellEnd"/>
      <w:r w:rsidR="00634B8F" w:rsidRPr="00101DAF">
        <w:rPr>
          <w:rFonts w:asciiTheme="minorHAnsi" w:hAnsiTheme="minorHAnsi" w:cs="Arial"/>
          <w:i/>
          <w:iCs/>
          <w:color w:val="000000"/>
          <w:sz w:val="22"/>
          <w:szCs w:val="22"/>
        </w:rPr>
        <w:t xml:space="preserve">’ </w:t>
      </w:r>
      <w:r w:rsidR="00634B8F" w:rsidRPr="00101DAF">
        <w:rPr>
          <w:rFonts w:asciiTheme="minorHAnsi" w:hAnsiTheme="minorHAnsi" w:cs="Arial"/>
          <w:color w:val="000000"/>
          <w:sz w:val="22"/>
          <w:szCs w:val="22"/>
        </w:rPr>
        <w:t>case) in respect of their liability for ACT taxes.</w:t>
      </w:r>
    </w:p>
    <w:p w:rsidR="00F44A8D" w:rsidRPr="00634B8F" w:rsidRDefault="00F44A8D" w:rsidP="00634B8F">
      <w:pPr>
        <w:pStyle w:val="Heading1"/>
        <w:spacing w:before="120" w:after="120" w:line="240" w:lineRule="auto"/>
        <w:ind w:left="1701" w:hanging="567"/>
        <w:jc w:val="both"/>
      </w:pPr>
      <w:r w:rsidRPr="00634B8F">
        <w:t>Circular</w:t>
      </w:r>
    </w:p>
    <w:p w:rsidR="00634B8F" w:rsidRPr="00101DAF" w:rsidRDefault="00634B8F" w:rsidP="00634B8F">
      <w:pPr>
        <w:adjustRightInd w:val="0"/>
        <w:spacing w:before="120" w:after="120"/>
        <w:ind w:left="1701" w:hanging="567"/>
        <w:jc w:val="both"/>
        <w:rPr>
          <w:rFonts w:asciiTheme="minorHAnsi" w:hAnsiTheme="minorHAnsi" w:cs="Arial"/>
          <w:color w:val="000000"/>
          <w:sz w:val="22"/>
          <w:szCs w:val="22"/>
        </w:rPr>
      </w:pPr>
      <w:r w:rsidRPr="00101DAF">
        <w:rPr>
          <w:rFonts w:asciiTheme="minorHAnsi" w:hAnsiTheme="minorHAnsi" w:cs="Arial"/>
          <w:iCs/>
          <w:color w:val="000000"/>
          <w:sz w:val="22"/>
          <w:szCs w:val="22"/>
        </w:rPr>
        <w:t>2.</w:t>
      </w:r>
      <w:r w:rsidRPr="00101DAF">
        <w:rPr>
          <w:rFonts w:asciiTheme="minorHAnsi" w:hAnsiTheme="minorHAnsi" w:cs="Arial"/>
          <w:iCs/>
          <w:color w:val="000000"/>
          <w:sz w:val="22"/>
          <w:szCs w:val="22"/>
        </w:rPr>
        <w:tab/>
      </w:r>
      <w:proofErr w:type="spellStart"/>
      <w:r w:rsidRPr="00101DAF">
        <w:rPr>
          <w:rFonts w:asciiTheme="minorHAnsi" w:hAnsiTheme="minorHAnsi" w:cs="Arial"/>
          <w:i/>
          <w:iCs/>
          <w:color w:val="000000"/>
          <w:sz w:val="22"/>
          <w:szCs w:val="22"/>
        </w:rPr>
        <w:t>Allders</w:t>
      </w:r>
      <w:proofErr w:type="spellEnd"/>
      <w:r w:rsidRPr="00101DAF">
        <w:rPr>
          <w:rFonts w:asciiTheme="minorHAnsi" w:hAnsiTheme="minorHAnsi" w:cs="Arial"/>
          <w:i/>
          <w:iCs/>
          <w:color w:val="000000"/>
          <w:sz w:val="22"/>
          <w:szCs w:val="22"/>
        </w:rPr>
        <w:t xml:space="preserve">’ </w:t>
      </w:r>
      <w:r w:rsidRPr="00101DAF">
        <w:rPr>
          <w:rFonts w:asciiTheme="minorHAnsi" w:hAnsiTheme="minorHAnsi" w:cs="Arial"/>
          <w:color w:val="000000"/>
          <w:sz w:val="22"/>
          <w:szCs w:val="22"/>
        </w:rPr>
        <w:t xml:space="preserve">case dealt with the validity of the </w:t>
      </w:r>
      <w:r w:rsidRPr="00101DAF">
        <w:rPr>
          <w:rFonts w:asciiTheme="minorHAnsi" w:hAnsiTheme="minorHAnsi" w:cs="Arial"/>
          <w:i/>
          <w:color w:val="000000"/>
          <w:sz w:val="22"/>
          <w:szCs w:val="22"/>
        </w:rPr>
        <w:t>Stamps Act 1958</w:t>
      </w:r>
      <w:r w:rsidRPr="00101DAF">
        <w:rPr>
          <w:rFonts w:asciiTheme="minorHAnsi" w:hAnsiTheme="minorHAnsi" w:cs="Arial"/>
          <w:color w:val="000000"/>
          <w:sz w:val="22"/>
          <w:szCs w:val="22"/>
        </w:rPr>
        <w:t xml:space="preserve"> (Vic) (the Act). </w:t>
      </w:r>
    </w:p>
    <w:p w:rsidR="00634B8F" w:rsidRPr="00101DAF" w:rsidRDefault="00634B8F" w:rsidP="00634B8F">
      <w:pPr>
        <w:adjustRightInd w:val="0"/>
        <w:spacing w:before="120" w:after="120"/>
        <w:ind w:left="1701" w:hanging="567"/>
        <w:jc w:val="both"/>
        <w:rPr>
          <w:rFonts w:asciiTheme="minorHAnsi" w:hAnsiTheme="minorHAnsi" w:cs="Arial"/>
          <w:color w:val="000000"/>
          <w:sz w:val="22"/>
          <w:szCs w:val="22"/>
        </w:rPr>
      </w:pPr>
      <w:r w:rsidRPr="00101DAF">
        <w:rPr>
          <w:rFonts w:asciiTheme="minorHAnsi" w:hAnsiTheme="minorHAnsi" w:cs="Arial"/>
          <w:color w:val="000000"/>
          <w:sz w:val="22"/>
          <w:szCs w:val="22"/>
        </w:rPr>
        <w:t>3.</w:t>
      </w:r>
      <w:r w:rsidRPr="00101DAF">
        <w:rPr>
          <w:rFonts w:asciiTheme="minorHAnsi" w:hAnsiTheme="minorHAnsi" w:cs="Arial"/>
          <w:color w:val="000000"/>
          <w:sz w:val="22"/>
          <w:szCs w:val="22"/>
        </w:rPr>
        <w:tab/>
        <w:t xml:space="preserve">The lease of a shop was assessed for stamp duties by the Victorian Stamp Duty Commissioner. The shop was in </w:t>
      </w:r>
      <w:smartTag w:uri="urn:schemas-microsoft-com:office:smarttags" w:element="place">
        <w:smartTag w:uri="urn:schemas-microsoft-com:office:smarttags" w:element="PlaceName">
          <w:r w:rsidRPr="00101DAF">
            <w:rPr>
              <w:rFonts w:asciiTheme="minorHAnsi" w:hAnsiTheme="minorHAnsi" w:cs="Arial"/>
              <w:color w:val="000000"/>
              <w:sz w:val="22"/>
              <w:szCs w:val="22"/>
            </w:rPr>
            <w:t>Tullamarine</w:t>
          </w:r>
        </w:smartTag>
        <w:r w:rsidRPr="00101DAF">
          <w:rPr>
            <w:rFonts w:asciiTheme="minorHAnsi" w:hAnsiTheme="minorHAnsi" w:cs="Arial"/>
            <w:color w:val="000000"/>
            <w:sz w:val="22"/>
            <w:szCs w:val="22"/>
          </w:rPr>
          <w:t xml:space="preserve"> </w:t>
        </w:r>
        <w:smartTag w:uri="urn:schemas-microsoft-com:office:smarttags" w:element="PlaceType">
          <w:r w:rsidRPr="00101DAF">
            <w:rPr>
              <w:rFonts w:asciiTheme="minorHAnsi" w:hAnsiTheme="minorHAnsi" w:cs="Arial"/>
              <w:color w:val="000000"/>
              <w:sz w:val="22"/>
              <w:szCs w:val="22"/>
            </w:rPr>
            <w:t>Airport</w:t>
          </w:r>
        </w:smartTag>
      </w:smartTag>
      <w:r w:rsidRPr="00101DAF">
        <w:rPr>
          <w:rFonts w:asciiTheme="minorHAnsi" w:hAnsiTheme="minorHAnsi" w:cs="Arial"/>
          <w:color w:val="000000"/>
          <w:sz w:val="22"/>
          <w:szCs w:val="22"/>
        </w:rPr>
        <w:t xml:space="preserve"> which is situated on land acquired by the Commonwealth for public purposes.  The Airport is, therefore, a Commonwealth place.  The taxpayer disputed the validity of the Act which was stated to authorise the assessment. </w:t>
      </w:r>
    </w:p>
    <w:p w:rsidR="00634B8F" w:rsidRPr="00101DAF" w:rsidRDefault="00634B8F" w:rsidP="00634B8F">
      <w:pPr>
        <w:adjustRightInd w:val="0"/>
        <w:spacing w:before="120" w:after="120"/>
        <w:ind w:left="1701" w:hanging="567"/>
        <w:jc w:val="both"/>
        <w:rPr>
          <w:rFonts w:asciiTheme="minorHAnsi" w:hAnsiTheme="minorHAnsi" w:cs="Arial"/>
          <w:color w:val="000000"/>
          <w:sz w:val="22"/>
          <w:szCs w:val="22"/>
        </w:rPr>
      </w:pPr>
      <w:r w:rsidRPr="00101DAF">
        <w:rPr>
          <w:rFonts w:asciiTheme="minorHAnsi" w:hAnsiTheme="minorHAnsi" w:cs="Arial"/>
          <w:color w:val="000000"/>
          <w:sz w:val="22"/>
          <w:szCs w:val="22"/>
        </w:rPr>
        <w:t>4.</w:t>
      </w:r>
      <w:r w:rsidRPr="00101DAF">
        <w:rPr>
          <w:rFonts w:asciiTheme="minorHAnsi" w:hAnsiTheme="minorHAnsi" w:cs="Arial"/>
          <w:color w:val="000000"/>
          <w:sz w:val="22"/>
          <w:szCs w:val="22"/>
        </w:rPr>
        <w:tab/>
        <w:t xml:space="preserve">The dispute went to the High Court which held the Act invalid to the extent that it conflicted with the provisions of Section 52 of the Constitution. </w:t>
      </w:r>
      <w:bookmarkStart w:id="0" w:name="_GoBack"/>
      <w:bookmarkEnd w:id="0"/>
      <w:r w:rsidRPr="00101DAF">
        <w:rPr>
          <w:rFonts w:asciiTheme="minorHAnsi" w:hAnsiTheme="minorHAnsi" w:cs="Arial"/>
          <w:color w:val="000000"/>
          <w:sz w:val="22"/>
          <w:szCs w:val="22"/>
        </w:rPr>
        <w:t>That section excludes State revenue laws from application to activities within Commonwealth places.</w:t>
      </w:r>
    </w:p>
    <w:p w:rsidR="00634B8F" w:rsidRPr="00101DAF" w:rsidRDefault="00634B8F" w:rsidP="00634B8F">
      <w:pPr>
        <w:adjustRightInd w:val="0"/>
        <w:spacing w:before="120" w:after="120"/>
        <w:ind w:left="1701" w:hanging="567"/>
        <w:rPr>
          <w:rFonts w:asciiTheme="minorHAnsi" w:hAnsiTheme="minorHAnsi" w:cs="Arial"/>
          <w:b/>
          <w:bCs/>
          <w:color w:val="000000"/>
          <w:sz w:val="22"/>
          <w:szCs w:val="22"/>
        </w:rPr>
      </w:pPr>
      <w:r w:rsidRPr="00101DAF">
        <w:rPr>
          <w:rFonts w:asciiTheme="minorHAnsi" w:hAnsiTheme="minorHAnsi" w:cs="Arial"/>
          <w:b/>
          <w:bCs/>
          <w:color w:val="000000"/>
          <w:sz w:val="22"/>
          <w:szCs w:val="22"/>
        </w:rPr>
        <w:t>Advice to taxpayers</w:t>
      </w:r>
    </w:p>
    <w:p w:rsidR="00634B8F" w:rsidRPr="00055A49" w:rsidRDefault="00634B8F" w:rsidP="00634B8F">
      <w:pPr>
        <w:adjustRightInd w:val="0"/>
        <w:spacing w:before="120" w:after="120"/>
        <w:ind w:left="1701" w:hanging="567"/>
        <w:jc w:val="both"/>
        <w:rPr>
          <w:rFonts w:asciiTheme="minorHAnsi" w:hAnsiTheme="minorHAnsi" w:cs="Arial"/>
          <w:i/>
          <w:iCs/>
          <w:color w:val="000000"/>
          <w:sz w:val="22"/>
          <w:szCs w:val="22"/>
        </w:rPr>
      </w:pPr>
      <w:r w:rsidRPr="00101DAF">
        <w:rPr>
          <w:rFonts w:asciiTheme="minorHAnsi" w:hAnsiTheme="minorHAnsi" w:cs="Arial"/>
          <w:color w:val="000000"/>
          <w:sz w:val="22"/>
          <w:szCs w:val="22"/>
        </w:rPr>
        <w:t>5.</w:t>
      </w:r>
      <w:r w:rsidRPr="00101DAF">
        <w:rPr>
          <w:rFonts w:asciiTheme="minorHAnsi" w:hAnsiTheme="minorHAnsi" w:cs="Arial"/>
          <w:color w:val="000000"/>
          <w:sz w:val="22"/>
          <w:szCs w:val="22"/>
        </w:rPr>
        <w:tab/>
      </w:r>
      <w:r w:rsidRPr="00055A49">
        <w:rPr>
          <w:rFonts w:asciiTheme="minorHAnsi" w:hAnsiTheme="minorHAnsi" w:cs="Arial"/>
          <w:color w:val="000000"/>
          <w:sz w:val="22"/>
          <w:szCs w:val="22"/>
        </w:rPr>
        <w:t>Clients are advised that the High Court has also determined that in referring to the exclusive power of the Commonwealth to make laws for the peace, order and good government of Commonwealth places, section 52 (</w:t>
      </w:r>
      <w:proofErr w:type="spellStart"/>
      <w:r w:rsidRPr="00055A49">
        <w:rPr>
          <w:rFonts w:asciiTheme="minorHAnsi" w:hAnsiTheme="minorHAnsi" w:cs="Arial"/>
          <w:color w:val="000000"/>
          <w:sz w:val="22"/>
          <w:szCs w:val="22"/>
        </w:rPr>
        <w:t>i</w:t>
      </w:r>
      <w:proofErr w:type="spellEnd"/>
      <w:r w:rsidRPr="00055A49">
        <w:rPr>
          <w:rFonts w:asciiTheme="minorHAnsi" w:hAnsiTheme="minorHAnsi" w:cs="Arial"/>
          <w:color w:val="000000"/>
          <w:sz w:val="22"/>
          <w:szCs w:val="22"/>
        </w:rPr>
        <w:t xml:space="preserve">) speaks of legislative power which is exclusive of the legislative power of the States </w:t>
      </w:r>
      <w:r w:rsidRPr="00055A49">
        <w:rPr>
          <w:rFonts w:asciiTheme="minorHAnsi" w:hAnsiTheme="minorHAnsi" w:cs="Arial"/>
          <w:iCs/>
          <w:color w:val="000000"/>
          <w:sz w:val="22"/>
          <w:szCs w:val="22"/>
        </w:rPr>
        <w:t>(</w:t>
      </w:r>
      <w:proofErr w:type="spellStart"/>
      <w:r w:rsidRPr="00055A49">
        <w:rPr>
          <w:rFonts w:asciiTheme="minorHAnsi" w:hAnsiTheme="minorHAnsi" w:cs="Arial"/>
          <w:i/>
          <w:iCs/>
          <w:color w:val="000000"/>
          <w:sz w:val="22"/>
          <w:szCs w:val="22"/>
        </w:rPr>
        <w:t>Svikart</w:t>
      </w:r>
      <w:proofErr w:type="spellEnd"/>
      <w:r w:rsidRPr="00055A49">
        <w:rPr>
          <w:rFonts w:asciiTheme="minorHAnsi" w:hAnsiTheme="minorHAnsi" w:cs="Arial"/>
          <w:i/>
          <w:iCs/>
          <w:color w:val="000000"/>
          <w:sz w:val="22"/>
          <w:szCs w:val="22"/>
        </w:rPr>
        <w:t xml:space="preserve"> v. Stewart </w:t>
      </w:r>
      <w:r w:rsidRPr="00055A49">
        <w:rPr>
          <w:rFonts w:asciiTheme="minorHAnsi" w:hAnsiTheme="minorHAnsi" w:cs="Arial"/>
          <w:iCs/>
          <w:color w:val="000000"/>
          <w:sz w:val="22"/>
          <w:szCs w:val="22"/>
        </w:rPr>
        <w:t>(1994) 125 ALR 554)</w:t>
      </w:r>
      <w:r w:rsidRPr="00055A49">
        <w:rPr>
          <w:rFonts w:asciiTheme="minorHAnsi" w:hAnsiTheme="minorHAnsi" w:cs="Arial"/>
          <w:i/>
          <w:iCs/>
          <w:color w:val="000000"/>
          <w:sz w:val="22"/>
          <w:szCs w:val="22"/>
        </w:rPr>
        <w:t>.</w:t>
      </w:r>
    </w:p>
    <w:p w:rsidR="00634B8F" w:rsidRPr="00055A49" w:rsidRDefault="00634B8F" w:rsidP="00634B8F">
      <w:pPr>
        <w:adjustRightInd w:val="0"/>
        <w:spacing w:before="120" w:after="120"/>
        <w:ind w:left="1701" w:hanging="567"/>
        <w:jc w:val="both"/>
        <w:rPr>
          <w:rFonts w:asciiTheme="minorHAnsi" w:hAnsiTheme="minorHAnsi" w:cs="Arial"/>
          <w:color w:val="000000"/>
          <w:sz w:val="22"/>
          <w:szCs w:val="22"/>
        </w:rPr>
      </w:pPr>
      <w:r w:rsidRPr="00055A49">
        <w:rPr>
          <w:rFonts w:asciiTheme="minorHAnsi" w:hAnsiTheme="minorHAnsi" w:cs="Arial"/>
          <w:color w:val="000000"/>
          <w:sz w:val="22"/>
          <w:szCs w:val="22"/>
        </w:rPr>
        <w:t>6.</w:t>
      </w:r>
      <w:r w:rsidRPr="00055A49">
        <w:rPr>
          <w:rFonts w:asciiTheme="minorHAnsi" w:hAnsiTheme="minorHAnsi" w:cs="Arial"/>
          <w:color w:val="000000"/>
          <w:sz w:val="22"/>
          <w:szCs w:val="22"/>
        </w:rPr>
        <w:tab/>
        <w:t>Section 52 of the Constitution, therefore, excludes only the States from power to enact tax laws effecting activities in Commonwealth places.</w:t>
      </w:r>
    </w:p>
    <w:p w:rsidR="00634B8F" w:rsidRPr="00055A49" w:rsidRDefault="00634B8F" w:rsidP="00634B8F">
      <w:pPr>
        <w:adjustRightInd w:val="0"/>
        <w:spacing w:before="120" w:after="120"/>
        <w:ind w:left="1701" w:hanging="567"/>
        <w:jc w:val="both"/>
        <w:rPr>
          <w:rFonts w:asciiTheme="minorHAnsi" w:hAnsiTheme="minorHAnsi" w:cs="Arial"/>
          <w:color w:val="000000"/>
          <w:sz w:val="22"/>
          <w:szCs w:val="22"/>
        </w:rPr>
      </w:pPr>
      <w:r w:rsidRPr="00055A49">
        <w:rPr>
          <w:rFonts w:asciiTheme="minorHAnsi" w:hAnsiTheme="minorHAnsi" w:cs="Arial"/>
          <w:color w:val="000000"/>
          <w:sz w:val="22"/>
          <w:szCs w:val="22"/>
        </w:rPr>
        <w:t>7.</w:t>
      </w:r>
      <w:r w:rsidRPr="00055A49">
        <w:rPr>
          <w:rFonts w:asciiTheme="minorHAnsi" w:hAnsiTheme="minorHAnsi" w:cs="Arial"/>
          <w:color w:val="000000"/>
          <w:sz w:val="22"/>
          <w:szCs w:val="22"/>
        </w:rPr>
        <w:tab/>
        <w:t xml:space="preserve">Legal advice from the ACT Government Solicitor and the Commonwealth Attorney-General’s Department confirms that the High Court decision in </w:t>
      </w:r>
      <w:proofErr w:type="spellStart"/>
      <w:r w:rsidRPr="00055A49">
        <w:rPr>
          <w:rFonts w:asciiTheme="minorHAnsi" w:hAnsiTheme="minorHAnsi" w:cs="Arial"/>
          <w:i/>
          <w:iCs/>
          <w:color w:val="000000"/>
          <w:sz w:val="22"/>
          <w:szCs w:val="22"/>
        </w:rPr>
        <w:t>Allders</w:t>
      </w:r>
      <w:proofErr w:type="spellEnd"/>
      <w:r w:rsidRPr="00055A49">
        <w:rPr>
          <w:rFonts w:asciiTheme="minorHAnsi" w:hAnsiTheme="minorHAnsi" w:cs="Arial"/>
          <w:i/>
          <w:iCs/>
          <w:color w:val="000000"/>
          <w:sz w:val="22"/>
          <w:szCs w:val="22"/>
        </w:rPr>
        <w:t xml:space="preserve"> Case </w:t>
      </w:r>
      <w:r w:rsidRPr="00055A49">
        <w:rPr>
          <w:rFonts w:asciiTheme="minorHAnsi" w:hAnsiTheme="minorHAnsi" w:cs="Arial"/>
          <w:color w:val="000000"/>
          <w:sz w:val="22"/>
          <w:szCs w:val="22"/>
        </w:rPr>
        <w:t>does not have any implications with regard to the ability of the Australian Capital Territory to legislate with respect to Commonwealth places.</w:t>
      </w:r>
    </w:p>
    <w:p w:rsidR="00634B8F" w:rsidRPr="00055A49" w:rsidRDefault="00055A49" w:rsidP="00634B8F">
      <w:pPr>
        <w:adjustRightInd w:val="0"/>
        <w:spacing w:before="120" w:after="120"/>
        <w:ind w:left="1701" w:hanging="567"/>
        <w:jc w:val="both"/>
        <w:rPr>
          <w:rFonts w:asciiTheme="minorHAnsi" w:hAnsiTheme="minorHAnsi" w:cs="Arial"/>
          <w:color w:val="000000"/>
          <w:sz w:val="22"/>
          <w:szCs w:val="22"/>
        </w:rPr>
      </w:pPr>
      <w:r w:rsidRPr="00055A49">
        <w:rPr>
          <w:rFonts w:asciiTheme="minorHAnsi" w:hAnsiTheme="minorHAnsi" w:cs="Arial"/>
          <w:color w:val="000000"/>
          <w:sz w:val="22"/>
          <w:szCs w:val="22"/>
        </w:rPr>
        <w:t>8.</w:t>
      </w:r>
      <w:r w:rsidRPr="00055A49">
        <w:rPr>
          <w:rFonts w:asciiTheme="minorHAnsi" w:hAnsiTheme="minorHAnsi" w:cs="Arial"/>
          <w:color w:val="000000"/>
          <w:sz w:val="22"/>
          <w:szCs w:val="22"/>
        </w:rPr>
        <w:tab/>
        <w:t xml:space="preserve">Taxpayers who were, prior to </w:t>
      </w:r>
      <w:proofErr w:type="spellStart"/>
      <w:r w:rsidRPr="00055A49">
        <w:rPr>
          <w:rFonts w:asciiTheme="minorHAnsi" w:hAnsiTheme="minorHAnsi" w:cs="Arial"/>
          <w:i/>
          <w:iCs/>
          <w:color w:val="000000"/>
          <w:sz w:val="22"/>
          <w:szCs w:val="22"/>
        </w:rPr>
        <w:t>Allders</w:t>
      </w:r>
      <w:proofErr w:type="spellEnd"/>
      <w:r w:rsidRPr="00055A49">
        <w:rPr>
          <w:rFonts w:asciiTheme="minorHAnsi" w:hAnsiTheme="minorHAnsi" w:cs="Arial"/>
          <w:i/>
          <w:iCs/>
          <w:color w:val="000000"/>
          <w:sz w:val="22"/>
          <w:szCs w:val="22"/>
        </w:rPr>
        <w:t xml:space="preserve">’ </w:t>
      </w:r>
      <w:r w:rsidRPr="00055A49">
        <w:rPr>
          <w:rFonts w:asciiTheme="minorHAnsi" w:hAnsiTheme="minorHAnsi" w:cs="Arial"/>
          <w:color w:val="000000"/>
          <w:sz w:val="22"/>
          <w:szCs w:val="22"/>
        </w:rPr>
        <w:t>case, liable to ACT taxes with respect to their operations in, or trans</w:t>
      </w:r>
      <w:r w:rsidRPr="00055A49">
        <w:rPr>
          <w:rFonts w:asciiTheme="minorHAnsi" w:hAnsiTheme="minorHAnsi" w:cs="Arial"/>
          <w:color w:val="000000"/>
          <w:sz w:val="22"/>
          <w:szCs w:val="22"/>
        </w:rPr>
        <w:t>actions on, Commonwealth places</w:t>
      </w:r>
      <w:r w:rsidRPr="00055A49">
        <w:rPr>
          <w:rFonts w:asciiTheme="minorHAnsi" w:hAnsiTheme="minorHAnsi" w:cs="Arial"/>
          <w:color w:val="000000"/>
          <w:sz w:val="22"/>
          <w:szCs w:val="22"/>
        </w:rPr>
        <w:t xml:space="preserve"> will continue to be liable.</w:t>
      </w:r>
    </w:p>
    <w:p w:rsidR="00F44A8D" w:rsidRPr="00055A49" w:rsidRDefault="00634B8F" w:rsidP="00055A49">
      <w:pPr>
        <w:pStyle w:val="Default"/>
        <w:spacing w:before="120" w:after="120"/>
        <w:ind w:left="1701" w:hanging="567"/>
        <w:jc w:val="both"/>
        <w:rPr>
          <w:rFonts w:asciiTheme="minorHAnsi" w:hAnsiTheme="minorHAnsi"/>
          <w:sz w:val="22"/>
          <w:szCs w:val="22"/>
        </w:rPr>
      </w:pPr>
      <w:r w:rsidRPr="00055A49">
        <w:rPr>
          <w:rFonts w:asciiTheme="minorHAnsi" w:hAnsiTheme="minorHAnsi"/>
          <w:sz w:val="22"/>
          <w:szCs w:val="22"/>
        </w:rPr>
        <w:t>9.</w:t>
      </w:r>
      <w:r w:rsidRPr="00055A49">
        <w:rPr>
          <w:rFonts w:asciiTheme="minorHAnsi" w:hAnsiTheme="minorHAnsi"/>
          <w:sz w:val="22"/>
          <w:szCs w:val="22"/>
        </w:rPr>
        <w:tab/>
        <w:t>Taxpayers are also reminded that penalties exist for non-payment of ACT taxes and charges and they should ensure that all moneys due to the Territory are paid in accordance with current legislation.</w:t>
      </w:r>
    </w:p>
    <w:p w:rsidR="00F44A8D" w:rsidRDefault="00F44A8D" w:rsidP="00055A49">
      <w:pPr>
        <w:pStyle w:val="Heading2"/>
        <w:jc w:val="both"/>
        <w:sectPr w:rsidR="00F44A8D" w:rsidSect="00702365">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p w:rsidR="00055A49" w:rsidRPr="00101DAF" w:rsidRDefault="00055A49" w:rsidP="00055A49">
      <w:pPr>
        <w:adjustRightInd w:val="0"/>
        <w:ind w:left="1134"/>
        <w:rPr>
          <w:rFonts w:asciiTheme="minorHAnsi" w:hAnsiTheme="minorHAnsi" w:cs="Arial"/>
          <w:color w:val="000000"/>
        </w:rPr>
      </w:pPr>
    </w:p>
    <w:p w:rsidR="00055A49" w:rsidRPr="00101DAF" w:rsidRDefault="00055A49" w:rsidP="00055A49">
      <w:pPr>
        <w:adjustRightInd w:val="0"/>
        <w:ind w:left="1134"/>
        <w:rPr>
          <w:rFonts w:asciiTheme="minorHAnsi" w:hAnsiTheme="minorHAnsi" w:cs="Arial"/>
          <w:bCs/>
        </w:rPr>
      </w:pPr>
      <w:r w:rsidRPr="00101DAF">
        <w:rPr>
          <w:rFonts w:asciiTheme="minorHAnsi" w:hAnsiTheme="minorHAnsi" w:cs="Arial"/>
          <w:bCs/>
        </w:rPr>
        <w:t>SIGNED</w:t>
      </w:r>
    </w:p>
    <w:p w:rsidR="00055A49" w:rsidRPr="00101DAF" w:rsidRDefault="00055A49" w:rsidP="00055A49">
      <w:pPr>
        <w:adjustRightInd w:val="0"/>
        <w:ind w:left="1134"/>
        <w:rPr>
          <w:rFonts w:asciiTheme="minorHAnsi" w:hAnsiTheme="minorHAnsi" w:cs="Arial"/>
          <w:bCs/>
        </w:rPr>
      </w:pPr>
    </w:p>
    <w:p w:rsidR="00055A49" w:rsidRPr="00101DAF" w:rsidRDefault="00055A49" w:rsidP="00055A49">
      <w:pPr>
        <w:adjustRightInd w:val="0"/>
        <w:ind w:left="1134"/>
        <w:rPr>
          <w:rFonts w:asciiTheme="minorHAnsi" w:hAnsiTheme="minorHAnsi" w:cs="Arial"/>
          <w:bCs/>
        </w:rPr>
      </w:pPr>
      <w:r w:rsidRPr="00101DAF">
        <w:rPr>
          <w:rFonts w:asciiTheme="minorHAnsi" w:hAnsiTheme="minorHAnsi" w:cs="Arial"/>
          <w:bCs/>
        </w:rPr>
        <w:t>Graeme Dowell</w:t>
      </w:r>
    </w:p>
    <w:p w:rsidR="00055A49" w:rsidRPr="00101DAF" w:rsidRDefault="00055A49" w:rsidP="00055A49">
      <w:pPr>
        <w:adjustRightInd w:val="0"/>
        <w:ind w:left="1134"/>
        <w:rPr>
          <w:rFonts w:asciiTheme="minorHAnsi" w:hAnsiTheme="minorHAnsi" w:cs="Arial"/>
        </w:rPr>
      </w:pPr>
      <w:r w:rsidRPr="00101DAF">
        <w:rPr>
          <w:rFonts w:asciiTheme="minorHAnsi" w:hAnsiTheme="minorHAnsi" w:cs="Arial"/>
        </w:rPr>
        <w:t>Commissioner for ACT Revenue</w:t>
      </w:r>
    </w:p>
    <w:p w:rsidR="00055A49" w:rsidRPr="00101DAF" w:rsidRDefault="00055A49" w:rsidP="00055A49">
      <w:pPr>
        <w:adjustRightInd w:val="0"/>
        <w:ind w:left="1134"/>
        <w:rPr>
          <w:rFonts w:asciiTheme="minorHAnsi" w:hAnsiTheme="minorHAnsi" w:cs="Arial"/>
        </w:rPr>
      </w:pPr>
      <w:r w:rsidRPr="00101DAF">
        <w:rPr>
          <w:rFonts w:asciiTheme="minorHAnsi" w:hAnsiTheme="minorHAnsi" w:cs="Arial"/>
        </w:rPr>
        <w:t xml:space="preserve">30 June 2008 </w:t>
      </w:r>
    </w:p>
    <w:p w:rsidR="00055A49" w:rsidRPr="00101DAF" w:rsidRDefault="00055A49" w:rsidP="00055A49">
      <w:pPr>
        <w:ind w:left="1134"/>
        <w:rPr>
          <w:rFonts w:asciiTheme="minorHAnsi" w:hAnsiTheme="minorHAnsi"/>
        </w:rPr>
      </w:pPr>
    </w:p>
    <w:sectPr w:rsidR="00055A49" w:rsidRPr="00101DAF" w:rsidSect="00F44A8D">
      <w:pgSz w:w="11910" w:h="16840" w:code="9"/>
      <w:pgMar w:top="1100" w:right="992"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55A49"/>
    <w:rsid w:val="000D649E"/>
    <w:rsid w:val="000D64C3"/>
    <w:rsid w:val="00193116"/>
    <w:rsid w:val="00210C1D"/>
    <w:rsid w:val="002240B1"/>
    <w:rsid w:val="00244887"/>
    <w:rsid w:val="00275FAE"/>
    <w:rsid w:val="00310E54"/>
    <w:rsid w:val="00391CB7"/>
    <w:rsid w:val="005B0828"/>
    <w:rsid w:val="0063246F"/>
    <w:rsid w:val="00634B8F"/>
    <w:rsid w:val="006B0ECA"/>
    <w:rsid w:val="006B2035"/>
    <w:rsid w:val="00702365"/>
    <w:rsid w:val="00712A2B"/>
    <w:rsid w:val="00822F9C"/>
    <w:rsid w:val="008B1CDE"/>
    <w:rsid w:val="0096709E"/>
    <w:rsid w:val="00A812EA"/>
    <w:rsid w:val="00AA0FCF"/>
    <w:rsid w:val="00AD4741"/>
    <w:rsid w:val="00AF7801"/>
    <w:rsid w:val="00BB7D19"/>
    <w:rsid w:val="00BE0B6D"/>
    <w:rsid w:val="00BF64D2"/>
    <w:rsid w:val="00C12B1E"/>
    <w:rsid w:val="00C2197A"/>
    <w:rsid w:val="00C24521"/>
    <w:rsid w:val="00C82405"/>
    <w:rsid w:val="00C8554F"/>
    <w:rsid w:val="00CD0ACD"/>
    <w:rsid w:val="00CD6913"/>
    <w:rsid w:val="00D908F9"/>
    <w:rsid w:val="00DA0B26"/>
    <w:rsid w:val="00DA6ED5"/>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4CAC6-4B78-4207-AE18-C011C657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2017-06-03T10:42:00Z</dcterms:created>
  <dcterms:modified xsi:type="dcterms:W3CDTF">2017-06-03T11:12:00Z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