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ECA" w:rsidRDefault="00282270" w:rsidP="00897C28">
      <w:pPr>
        <w:pStyle w:val="BodyText"/>
        <w:overflowPunct w:val="0"/>
        <w:ind w:left="-142" w:right="-142"/>
        <w:jc w:val="both"/>
      </w:pPr>
      <w:r>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245.2pt;margin-top:66.1pt;width:212.1pt;height:4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AXtAIAALk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" filled="f" stroked="f">
            <v:textbox>
              <w:txbxContent>
                <w:p w:rsidR="00AD4741" w:rsidRPr="006B0ECA" w:rsidRDefault="00AD4741">
                  <w:pPr>
                    <w:rPr>
                      <w:b/>
                      <w:color w:val="FFFFFF" w:themeColor="background1"/>
                      <w:sz w:val="40"/>
                      <w:szCs w:val="40"/>
                    </w:rPr>
                  </w:pPr>
                  <w:r w:rsidRPr="006B0ECA">
                    <w:rPr>
                      <w:b/>
                      <w:color w:val="FFFFFF" w:themeColor="background1"/>
                      <w:sz w:val="40"/>
                      <w:szCs w:val="40"/>
                    </w:rPr>
                    <w:t>ACT REVENUE OFFICE</w:t>
                  </w:r>
                </w:p>
              </w:txbxContent>
            </v:textbox>
          </v:shape>
        </w:pict>
      </w:r>
      <w:r>
        <w:rPr>
          <w:noProof/>
        </w:rPr>
        <w:pict>
          <v:rect id="Rectangle 8" o:spid="_x0000_s1027" style="position:absolute;left:0;text-align:left;margin-left:188.7pt;margin-top:-124.85pt;width:277.8pt;height:7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" filled="f" stroked="f">
            <v:textbox>
              <w:txbxContent>
                <w:p w:rsidR="00AD4741" w:rsidRPr="00D908F9" w:rsidRDefault="00AD4741" w:rsidP="00391CB7">
                  <w:pPr>
                    <w:pStyle w:val="Header"/>
                    <w:tabs>
                      <w:tab w:val="clear" w:pos="4513"/>
                    </w:tabs>
                    <w:jc w:val="both"/>
                    <w:rPr>
                      <w:color w:val="FFFFFF"/>
                      <w:sz w:val="56"/>
                      <w:szCs w:val="56"/>
                    </w:rPr>
                  </w:pPr>
                  <w:r>
                    <w:rPr>
                      <w:color w:val="FFFFFF"/>
                      <w:sz w:val="56"/>
                      <w:szCs w:val="56"/>
                    </w:rPr>
                    <w:t>ACT Revenue Office</w:t>
                  </w:r>
                </w:p>
              </w:txbxContent>
            </v:textbox>
          </v:rect>
        </w:pict>
      </w:r>
      <w:r w:rsidR="00391CB7">
        <w:rPr>
          <w:noProof/>
        </w:rPr>
        <w:drawing>
          <wp:inline distT="0" distB="0" distL="0" distR="0">
            <wp:extent cx="9448201" cy="2184071"/>
            <wp:effectExtent l="19050" t="0" r="599"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tretch>
                      <a:fillRect/>
                    </a:stretch>
                  </pic:blipFill>
                  <pic:spPr bwMode="auto">
                    <a:xfrm>
                      <a:off x="0" y="0"/>
                      <a:ext cx="9460949" cy="2187018"/>
                    </a:xfrm>
                    <a:prstGeom prst="rect">
                      <a:avLst/>
                    </a:prstGeom>
                    <a:noFill/>
                    <a:ln>
                      <a:noFill/>
                    </a:ln>
                  </pic:spPr>
                </pic:pic>
              </a:graphicData>
            </a:graphic>
          </wp:inline>
        </w:drawing>
      </w:r>
    </w:p>
    <w:p w:rsidR="006B0ECA" w:rsidRPr="00CD6913" w:rsidRDefault="006B0ECA" w:rsidP="00AD4741">
      <w:pPr>
        <w:ind w:left="1134"/>
        <w:jc w:val="both"/>
        <w:rPr>
          <w:rFonts w:asciiTheme="minorHAnsi" w:hAnsiTheme="minorHAnsi"/>
        </w:rPr>
      </w:pPr>
    </w:p>
    <w:tbl>
      <w:tblPr>
        <w:tblW w:w="4330" w:type="pct"/>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tblPr>
      <w:tblGrid>
        <w:gridCol w:w="9516"/>
      </w:tblGrid>
      <w:tr w:rsidR="00F44A8D" w:rsidRPr="00404085" w:rsidTr="00BB7D1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D9D9D9"/>
          </w:tcPr>
          <w:p w:rsidR="00F44A8D" w:rsidRPr="00705A5A" w:rsidRDefault="00F44A8D" w:rsidP="009D4240">
            <w:pPr>
              <w:jc w:val="both"/>
              <w:rPr>
                <w:b/>
                <w:lang w:eastAsia="en-US"/>
              </w:rPr>
            </w:pPr>
            <w:r>
              <w:rPr>
                <w:b/>
                <w:lang w:eastAsia="en-US"/>
              </w:rPr>
              <w:t xml:space="preserve">REVENUE CIRCULAR </w:t>
            </w:r>
            <w:r w:rsidR="009D4240">
              <w:rPr>
                <w:b/>
                <w:lang w:eastAsia="en-US"/>
              </w:rPr>
              <w:t>DAA002.1</w:t>
            </w:r>
          </w:p>
        </w:tc>
      </w:tr>
      <w:tr w:rsidR="00F44A8D" w:rsidRPr="00404085" w:rsidTr="00BB7D1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auto"/>
          </w:tcPr>
          <w:p w:rsidR="00F44A8D" w:rsidRPr="00404085" w:rsidRDefault="009D4240" w:rsidP="00AD4741">
            <w:pPr>
              <w:jc w:val="both"/>
              <w:rPr>
                <w:lang w:eastAsia="en-US"/>
              </w:rPr>
            </w:pPr>
            <w:r>
              <w:rPr>
                <w:lang w:eastAsia="en-US"/>
              </w:rPr>
              <w:t>Exemption from Duty – Intergenerational Rural Transfers</w:t>
            </w:r>
          </w:p>
        </w:tc>
      </w:tr>
      <w:tr w:rsidR="00F44A8D" w:rsidRPr="00404085" w:rsidTr="00BB7D1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auto"/>
          </w:tcPr>
          <w:p w:rsidR="00F44A8D" w:rsidRPr="00404085" w:rsidRDefault="00F44A8D" w:rsidP="009D4240">
            <w:pPr>
              <w:jc w:val="both"/>
              <w:rPr>
                <w:lang w:eastAsia="en-US"/>
              </w:rPr>
            </w:pPr>
            <w:r>
              <w:rPr>
                <w:lang w:eastAsia="en-US"/>
              </w:rPr>
              <w:t xml:space="preserve">Issue Date: </w:t>
            </w:r>
            <w:r w:rsidR="009D4240">
              <w:rPr>
                <w:lang w:eastAsia="en-US"/>
              </w:rPr>
              <w:t>7 August 2015</w:t>
            </w:r>
          </w:p>
        </w:tc>
      </w:tr>
      <w:tr w:rsidR="00F44A8D" w:rsidRPr="00404085" w:rsidTr="00BB7D1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auto"/>
          </w:tcPr>
          <w:p w:rsidR="00F44A8D" w:rsidRPr="00404085" w:rsidRDefault="00F44A8D" w:rsidP="009D4240">
            <w:pPr>
              <w:jc w:val="both"/>
            </w:pPr>
            <w:r>
              <w:t>Status: Current</w:t>
            </w:r>
            <w:r w:rsidR="00BB7D19">
              <w:t xml:space="preserve"> – Effective </w:t>
            </w:r>
            <w:r w:rsidR="009D4240">
              <w:t>7 August</w:t>
            </w:r>
            <w:r w:rsidR="00E81FA3">
              <w:t xml:space="preserve"> 2015</w:t>
            </w:r>
          </w:p>
        </w:tc>
      </w:tr>
      <w:tr w:rsidR="00310E54" w:rsidRPr="00404085" w:rsidTr="00BB7D1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auto"/>
          </w:tcPr>
          <w:p w:rsidR="00310E54" w:rsidRDefault="00310E54" w:rsidP="00E81FA3">
            <w:pPr>
              <w:jc w:val="both"/>
            </w:pPr>
            <w:r>
              <w:t xml:space="preserve">Previous Circular: </w:t>
            </w:r>
            <w:r w:rsidR="009D4240">
              <w:t>DAA002</w:t>
            </w:r>
          </w:p>
        </w:tc>
      </w:tr>
    </w:tbl>
    <w:p w:rsidR="00F44A8D" w:rsidRPr="00AD4741" w:rsidRDefault="00BB7D19" w:rsidP="00E81FA3">
      <w:pPr>
        <w:pStyle w:val="Heading1"/>
        <w:spacing w:before="60" w:after="60" w:line="240" w:lineRule="auto"/>
        <w:ind w:left="1701" w:hanging="567"/>
        <w:jc w:val="both"/>
      </w:pPr>
      <w:r>
        <w:t>Preamble</w:t>
      </w:r>
    </w:p>
    <w:p w:rsidR="009D4240" w:rsidRPr="009D4240" w:rsidRDefault="009D4240" w:rsidP="009D4240">
      <w:pPr>
        <w:adjustRightInd w:val="0"/>
        <w:spacing w:before="60" w:after="60"/>
        <w:ind w:left="1560" w:hanging="425"/>
        <w:jc w:val="both"/>
        <w:rPr>
          <w:rFonts w:asciiTheme="minorHAnsi" w:hAnsiTheme="minorHAnsi" w:cs="Arial"/>
          <w:color w:val="000000"/>
          <w:sz w:val="22"/>
          <w:szCs w:val="22"/>
        </w:rPr>
      </w:pPr>
      <w:r w:rsidRPr="00A34B56">
        <w:rPr>
          <w:rFonts w:asciiTheme="minorHAnsi" w:hAnsiTheme="minorHAnsi" w:cs="Arial"/>
          <w:color w:val="000000"/>
          <w:sz w:val="22"/>
          <w:szCs w:val="22"/>
        </w:rPr>
        <w:t>1.</w:t>
      </w:r>
      <w:r w:rsidRPr="00A34B56">
        <w:rPr>
          <w:rFonts w:asciiTheme="minorHAnsi" w:hAnsiTheme="minorHAnsi" w:cs="Arial"/>
          <w:color w:val="000000"/>
          <w:sz w:val="22"/>
          <w:szCs w:val="22"/>
        </w:rPr>
        <w:tab/>
      </w:r>
      <w:r w:rsidRPr="009D4240">
        <w:rPr>
          <w:rFonts w:asciiTheme="minorHAnsi" w:hAnsiTheme="minorHAnsi" w:cs="Arial"/>
          <w:color w:val="000000"/>
          <w:sz w:val="22"/>
          <w:szCs w:val="22"/>
        </w:rPr>
        <w:t xml:space="preserve">Under Chapter 11 of the </w:t>
      </w:r>
      <w:r w:rsidRPr="009D4240">
        <w:rPr>
          <w:rFonts w:asciiTheme="minorHAnsi" w:hAnsiTheme="minorHAnsi" w:cs="Arial"/>
          <w:i/>
          <w:iCs/>
          <w:color w:val="000000"/>
          <w:sz w:val="22"/>
          <w:szCs w:val="22"/>
        </w:rPr>
        <w:t xml:space="preserve">Duties Act 1999 </w:t>
      </w:r>
      <w:r w:rsidRPr="009D4240">
        <w:rPr>
          <w:rFonts w:asciiTheme="minorHAnsi" w:hAnsiTheme="minorHAnsi" w:cs="Arial"/>
          <w:color w:val="000000"/>
          <w:sz w:val="22"/>
          <w:szCs w:val="22"/>
        </w:rPr>
        <w:t>(the Act), families in the rural sector are eligible to seek relief from duty on the transfer of farming properties to younger generations.  The intention is to encourage descendants or younger members of farming families to stay on the farm.</w:t>
      </w:r>
    </w:p>
    <w:p w:rsidR="009D4240" w:rsidRPr="009D4240" w:rsidRDefault="009D4240" w:rsidP="009D4240">
      <w:pPr>
        <w:adjustRightInd w:val="0"/>
        <w:spacing w:before="60" w:after="60"/>
        <w:ind w:left="1560" w:hanging="425"/>
        <w:jc w:val="both"/>
        <w:rPr>
          <w:rFonts w:asciiTheme="minorHAnsi" w:hAnsiTheme="minorHAnsi" w:cs="Arial"/>
          <w:color w:val="000000"/>
          <w:sz w:val="22"/>
          <w:szCs w:val="22"/>
        </w:rPr>
      </w:pPr>
      <w:r w:rsidRPr="009D4240">
        <w:rPr>
          <w:rFonts w:asciiTheme="minorHAnsi" w:hAnsiTheme="minorHAnsi" w:cs="Arial"/>
          <w:color w:val="000000"/>
          <w:sz w:val="22"/>
          <w:szCs w:val="22"/>
        </w:rPr>
        <w:t>2.</w:t>
      </w:r>
      <w:r w:rsidRPr="009D4240">
        <w:rPr>
          <w:rFonts w:asciiTheme="minorHAnsi" w:hAnsiTheme="minorHAnsi" w:cs="Arial"/>
          <w:color w:val="000000"/>
          <w:sz w:val="22"/>
          <w:szCs w:val="22"/>
        </w:rPr>
        <w:tab/>
        <w:t xml:space="preserve">Section 230 of the Act provides that duty is not chargeable on certain transactions relating to land used for primary production.  The exemption is limited by reference to the use of the land, the parties to the transaction, and other requirements contained in guidelines approved from time to time by the Treasurer.  The current guidelines are at DI1999-91 at www.legislation.act.gov.au/di/default.asp. </w:t>
      </w:r>
    </w:p>
    <w:p w:rsidR="009D4240" w:rsidRPr="009D4240" w:rsidRDefault="009D4240" w:rsidP="009D4240">
      <w:pPr>
        <w:adjustRightInd w:val="0"/>
        <w:spacing w:before="60" w:after="60"/>
        <w:ind w:left="1560" w:hanging="425"/>
        <w:jc w:val="both"/>
        <w:rPr>
          <w:rFonts w:asciiTheme="minorHAnsi" w:hAnsiTheme="minorHAnsi" w:cs="Arial"/>
          <w:color w:val="000000"/>
          <w:sz w:val="22"/>
          <w:szCs w:val="22"/>
        </w:rPr>
      </w:pPr>
      <w:r w:rsidRPr="009D4240">
        <w:rPr>
          <w:rFonts w:asciiTheme="minorHAnsi" w:hAnsiTheme="minorHAnsi" w:cs="Arial"/>
          <w:color w:val="000000"/>
          <w:sz w:val="22"/>
          <w:szCs w:val="22"/>
        </w:rPr>
        <w:t>3.</w:t>
      </w:r>
      <w:r w:rsidRPr="009D4240">
        <w:rPr>
          <w:rFonts w:asciiTheme="minorHAnsi" w:hAnsiTheme="minorHAnsi" w:cs="Arial"/>
          <w:color w:val="000000"/>
          <w:sz w:val="22"/>
          <w:szCs w:val="22"/>
        </w:rPr>
        <w:tab/>
        <w:t>This circular provides details of how the exemption applies, including guidelines approved by the Treasurer.</w:t>
      </w:r>
    </w:p>
    <w:p w:rsidR="009D4240" w:rsidRPr="009D4240" w:rsidRDefault="009D4240" w:rsidP="009D4240">
      <w:pPr>
        <w:adjustRightInd w:val="0"/>
        <w:spacing w:before="60" w:after="60"/>
        <w:ind w:left="1560" w:hanging="425"/>
        <w:jc w:val="both"/>
        <w:rPr>
          <w:rFonts w:asciiTheme="minorHAnsi" w:hAnsiTheme="minorHAnsi" w:cs="Arial"/>
          <w:color w:val="000000"/>
          <w:sz w:val="22"/>
          <w:szCs w:val="22"/>
        </w:rPr>
      </w:pPr>
      <w:r w:rsidRPr="009D4240">
        <w:rPr>
          <w:rFonts w:asciiTheme="minorHAnsi" w:hAnsiTheme="minorHAnsi" w:cs="Arial"/>
          <w:color w:val="000000"/>
          <w:sz w:val="22"/>
          <w:szCs w:val="22"/>
        </w:rPr>
        <w:t>4.</w:t>
      </w:r>
      <w:r w:rsidRPr="009D4240">
        <w:rPr>
          <w:rFonts w:asciiTheme="minorHAnsi" w:hAnsiTheme="minorHAnsi" w:cs="Arial"/>
          <w:color w:val="000000"/>
          <w:sz w:val="22"/>
          <w:szCs w:val="22"/>
        </w:rPr>
        <w:tab/>
        <w:t xml:space="preserve">The exemption applies to transactions effected on or after 1 March 1999. </w:t>
      </w:r>
    </w:p>
    <w:p w:rsidR="00E81FA3" w:rsidRDefault="00F44A8D" w:rsidP="00E81FA3">
      <w:pPr>
        <w:pStyle w:val="Heading1"/>
        <w:spacing w:before="60" w:after="60" w:line="240" w:lineRule="auto"/>
        <w:ind w:left="1134" w:firstLine="0"/>
        <w:jc w:val="both"/>
        <w:rPr>
          <w:rFonts w:asciiTheme="minorHAnsi" w:hAnsiTheme="minorHAnsi"/>
        </w:rPr>
      </w:pPr>
      <w:r w:rsidRPr="00AD4741">
        <w:rPr>
          <w:rFonts w:asciiTheme="minorHAnsi" w:hAnsiTheme="minorHAnsi"/>
        </w:rPr>
        <w:t>Circular</w:t>
      </w:r>
    </w:p>
    <w:p w:rsidR="009D4240" w:rsidRPr="00A34B56" w:rsidRDefault="009D4240" w:rsidP="009D4240">
      <w:pPr>
        <w:spacing w:before="60" w:after="60"/>
        <w:ind w:left="1560" w:hanging="426"/>
        <w:rPr>
          <w:rFonts w:asciiTheme="minorHAnsi" w:hAnsiTheme="minorHAnsi" w:cs="Arial"/>
          <w:b/>
          <w:sz w:val="22"/>
          <w:szCs w:val="22"/>
          <w:u w:val="single"/>
        </w:rPr>
      </w:pPr>
      <w:r w:rsidRPr="00A34B56">
        <w:rPr>
          <w:rFonts w:asciiTheme="minorHAnsi" w:hAnsiTheme="minorHAnsi" w:cs="Arial"/>
          <w:b/>
          <w:bCs/>
          <w:color w:val="000000"/>
          <w:sz w:val="22"/>
          <w:szCs w:val="22"/>
          <w:u w:val="single"/>
        </w:rPr>
        <w:t xml:space="preserve">Transactions which Qualify for the </w:t>
      </w:r>
      <w:r w:rsidRPr="00A34B56">
        <w:rPr>
          <w:rFonts w:asciiTheme="minorHAnsi" w:hAnsiTheme="minorHAnsi" w:cs="Arial"/>
          <w:b/>
          <w:sz w:val="22"/>
          <w:szCs w:val="22"/>
          <w:u w:val="single"/>
        </w:rPr>
        <w:t xml:space="preserve">Exemption </w:t>
      </w:r>
    </w:p>
    <w:p w:rsidR="009D4240" w:rsidRPr="00A34B56" w:rsidRDefault="009D4240" w:rsidP="009D4240">
      <w:pPr>
        <w:adjustRightInd w:val="0"/>
        <w:spacing w:before="120"/>
        <w:ind w:left="1559" w:hanging="425"/>
        <w:jc w:val="both"/>
        <w:rPr>
          <w:rFonts w:asciiTheme="minorHAnsi" w:hAnsiTheme="minorHAnsi" w:cs="Arial"/>
          <w:color w:val="000000"/>
          <w:sz w:val="22"/>
          <w:szCs w:val="22"/>
        </w:rPr>
      </w:pPr>
      <w:r w:rsidRPr="00A34B56">
        <w:rPr>
          <w:rFonts w:asciiTheme="minorHAnsi" w:hAnsiTheme="minorHAnsi" w:cs="Arial"/>
          <w:color w:val="000000"/>
          <w:sz w:val="22"/>
          <w:szCs w:val="22"/>
        </w:rPr>
        <w:t>5.</w:t>
      </w:r>
      <w:r w:rsidRPr="00A34B56">
        <w:rPr>
          <w:rFonts w:asciiTheme="minorHAnsi" w:hAnsiTheme="minorHAnsi" w:cs="Arial"/>
          <w:color w:val="000000"/>
          <w:sz w:val="22"/>
          <w:szCs w:val="22"/>
        </w:rPr>
        <w:tab/>
        <w:t>The following transactions relating to land used for primary production are eligible for an exemption from duty:</w:t>
      </w:r>
    </w:p>
    <w:p w:rsidR="009D4240" w:rsidRPr="00A34B56" w:rsidRDefault="009D4240" w:rsidP="009D4240">
      <w:pPr>
        <w:widowControl/>
        <w:numPr>
          <w:ilvl w:val="0"/>
          <w:numId w:val="6"/>
        </w:numPr>
        <w:tabs>
          <w:tab w:val="clear" w:pos="1080"/>
        </w:tabs>
        <w:suppressAutoHyphens w:val="0"/>
        <w:adjustRightInd w:val="0"/>
        <w:spacing w:before="60" w:after="120"/>
        <w:ind w:left="2126" w:hanging="567"/>
        <w:jc w:val="both"/>
        <w:textAlignment w:val="auto"/>
        <w:rPr>
          <w:rFonts w:asciiTheme="minorHAnsi" w:hAnsiTheme="minorHAnsi" w:cs="Arial"/>
          <w:color w:val="000000"/>
          <w:sz w:val="22"/>
          <w:szCs w:val="22"/>
        </w:rPr>
      </w:pPr>
      <w:r w:rsidRPr="00A34B56">
        <w:rPr>
          <w:rFonts w:asciiTheme="minorHAnsi" w:hAnsiTheme="minorHAnsi" w:cs="Arial"/>
          <w:color w:val="000000"/>
          <w:sz w:val="22"/>
          <w:szCs w:val="22"/>
        </w:rPr>
        <w:t>a transfer of land;</w:t>
      </w:r>
    </w:p>
    <w:p w:rsidR="009D4240" w:rsidRPr="00A34B56" w:rsidRDefault="009D4240" w:rsidP="009D4240">
      <w:pPr>
        <w:widowControl/>
        <w:numPr>
          <w:ilvl w:val="0"/>
          <w:numId w:val="6"/>
        </w:numPr>
        <w:tabs>
          <w:tab w:val="clear" w:pos="1080"/>
        </w:tabs>
        <w:suppressAutoHyphens w:val="0"/>
        <w:adjustRightInd w:val="0"/>
        <w:spacing w:before="120" w:after="120"/>
        <w:ind w:left="2127" w:hanging="567"/>
        <w:jc w:val="both"/>
        <w:textAlignment w:val="auto"/>
        <w:rPr>
          <w:rFonts w:asciiTheme="minorHAnsi" w:hAnsiTheme="minorHAnsi" w:cs="Arial"/>
          <w:color w:val="000000"/>
          <w:sz w:val="22"/>
          <w:szCs w:val="22"/>
        </w:rPr>
      </w:pPr>
      <w:r w:rsidRPr="00A34B56">
        <w:rPr>
          <w:rFonts w:asciiTheme="minorHAnsi" w:hAnsiTheme="minorHAnsi" w:cs="Arial"/>
          <w:color w:val="000000"/>
          <w:sz w:val="22"/>
          <w:szCs w:val="22"/>
        </w:rPr>
        <w:t>an agreement for the sale or transfer of land;</w:t>
      </w:r>
    </w:p>
    <w:p w:rsidR="009D4240" w:rsidRPr="00A34B56" w:rsidRDefault="009D4240" w:rsidP="009D4240">
      <w:pPr>
        <w:widowControl/>
        <w:numPr>
          <w:ilvl w:val="0"/>
          <w:numId w:val="6"/>
        </w:numPr>
        <w:tabs>
          <w:tab w:val="clear" w:pos="1080"/>
        </w:tabs>
        <w:suppressAutoHyphens w:val="0"/>
        <w:adjustRightInd w:val="0"/>
        <w:spacing w:before="120" w:after="120"/>
        <w:ind w:left="2127" w:hanging="567"/>
        <w:jc w:val="both"/>
        <w:textAlignment w:val="auto"/>
        <w:rPr>
          <w:rFonts w:asciiTheme="minorHAnsi" w:hAnsiTheme="minorHAnsi" w:cs="Arial"/>
          <w:color w:val="000000"/>
          <w:sz w:val="22"/>
          <w:szCs w:val="22"/>
        </w:rPr>
      </w:pPr>
      <w:r w:rsidRPr="00A34B56">
        <w:rPr>
          <w:rFonts w:asciiTheme="minorHAnsi" w:hAnsiTheme="minorHAnsi" w:cs="Arial"/>
          <w:color w:val="000000"/>
          <w:sz w:val="22"/>
          <w:szCs w:val="22"/>
        </w:rPr>
        <w:t>a lease of land other than a Crown Lease; and/or</w:t>
      </w:r>
    </w:p>
    <w:p w:rsidR="009D4240" w:rsidRPr="00A34B56" w:rsidRDefault="009D4240" w:rsidP="009D4240">
      <w:pPr>
        <w:widowControl/>
        <w:numPr>
          <w:ilvl w:val="0"/>
          <w:numId w:val="6"/>
        </w:numPr>
        <w:tabs>
          <w:tab w:val="clear" w:pos="1080"/>
        </w:tabs>
        <w:suppressAutoHyphens w:val="0"/>
        <w:adjustRightInd w:val="0"/>
        <w:spacing w:before="120" w:after="120"/>
        <w:ind w:left="2127" w:hanging="567"/>
        <w:jc w:val="both"/>
        <w:textAlignment w:val="auto"/>
        <w:rPr>
          <w:rFonts w:asciiTheme="minorHAnsi" w:hAnsiTheme="minorHAnsi" w:cs="Arial"/>
          <w:color w:val="000000"/>
          <w:sz w:val="22"/>
          <w:szCs w:val="22"/>
        </w:rPr>
      </w:pPr>
      <w:proofErr w:type="gramStart"/>
      <w:r w:rsidRPr="00A34B56">
        <w:rPr>
          <w:rFonts w:asciiTheme="minorHAnsi" w:hAnsiTheme="minorHAnsi" w:cs="Arial"/>
          <w:color w:val="000000"/>
          <w:sz w:val="22"/>
          <w:szCs w:val="22"/>
        </w:rPr>
        <w:t>a</w:t>
      </w:r>
      <w:proofErr w:type="gramEnd"/>
      <w:r w:rsidRPr="00A34B56">
        <w:rPr>
          <w:rFonts w:asciiTheme="minorHAnsi" w:hAnsiTheme="minorHAnsi" w:cs="Arial"/>
          <w:color w:val="000000"/>
          <w:sz w:val="22"/>
          <w:szCs w:val="22"/>
        </w:rPr>
        <w:t xml:space="preserve"> transfer or assignment of a lease or permit in respect of land.</w:t>
      </w:r>
    </w:p>
    <w:p w:rsidR="009D4240" w:rsidRPr="00A34B56" w:rsidRDefault="009D4240" w:rsidP="009D4240">
      <w:pPr>
        <w:adjustRightInd w:val="0"/>
        <w:spacing w:before="120" w:after="120"/>
        <w:ind w:left="1560" w:hanging="426"/>
        <w:rPr>
          <w:rFonts w:asciiTheme="minorHAnsi" w:hAnsiTheme="minorHAnsi" w:cs="Arial"/>
          <w:color w:val="000000"/>
          <w:sz w:val="22"/>
          <w:szCs w:val="22"/>
        </w:rPr>
      </w:pPr>
      <w:r w:rsidRPr="00A34B56">
        <w:rPr>
          <w:rFonts w:asciiTheme="minorHAnsi" w:hAnsiTheme="minorHAnsi" w:cs="Arial"/>
          <w:color w:val="000000"/>
          <w:sz w:val="22"/>
          <w:szCs w:val="22"/>
        </w:rPr>
        <w:t>6.</w:t>
      </w:r>
      <w:r w:rsidRPr="00A34B56">
        <w:rPr>
          <w:rFonts w:asciiTheme="minorHAnsi" w:hAnsiTheme="minorHAnsi" w:cs="Arial"/>
          <w:color w:val="000000"/>
          <w:sz w:val="22"/>
          <w:szCs w:val="22"/>
        </w:rPr>
        <w:tab/>
        <w:t>If the transaction relates to land and other property, the exemption extends to other property that is an integral part of the business of primary production.  Examples of this are an entitlement to water, a milk quota and shares in a co-operative.</w:t>
      </w:r>
    </w:p>
    <w:p w:rsidR="009D4240" w:rsidRPr="00A34B56" w:rsidRDefault="009D4240" w:rsidP="009D4240">
      <w:pPr>
        <w:adjustRightInd w:val="0"/>
        <w:spacing w:before="120" w:after="120"/>
        <w:ind w:left="1560" w:hanging="426"/>
        <w:rPr>
          <w:rFonts w:asciiTheme="minorHAnsi" w:hAnsiTheme="minorHAnsi" w:cs="Arial"/>
          <w:b/>
          <w:bCs/>
          <w:color w:val="000000"/>
          <w:sz w:val="22"/>
          <w:szCs w:val="22"/>
          <w:u w:val="single"/>
        </w:rPr>
      </w:pPr>
      <w:r w:rsidRPr="00A34B56">
        <w:rPr>
          <w:rFonts w:asciiTheme="minorHAnsi" w:hAnsiTheme="minorHAnsi" w:cs="Arial"/>
          <w:b/>
          <w:bCs/>
          <w:color w:val="000000"/>
          <w:sz w:val="22"/>
          <w:szCs w:val="22"/>
          <w:u w:val="single"/>
        </w:rPr>
        <w:t>Land Used for Primary Production</w:t>
      </w:r>
    </w:p>
    <w:p w:rsidR="009D4240" w:rsidRPr="00A34B56" w:rsidRDefault="009D4240" w:rsidP="009D4240">
      <w:pPr>
        <w:adjustRightInd w:val="0"/>
        <w:spacing w:before="60" w:after="60"/>
        <w:ind w:left="1559" w:hanging="425"/>
        <w:jc w:val="both"/>
        <w:rPr>
          <w:rFonts w:asciiTheme="minorHAnsi" w:hAnsiTheme="minorHAnsi" w:cs="Arial"/>
          <w:color w:val="000000"/>
          <w:sz w:val="22"/>
          <w:szCs w:val="22"/>
        </w:rPr>
      </w:pPr>
      <w:r w:rsidRPr="00A34B56">
        <w:rPr>
          <w:rFonts w:asciiTheme="minorHAnsi" w:hAnsiTheme="minorHAnsi" w:cs="Arial"/>
          <w:color w:val="000000"/>
          <w:sz w:val="22"/>
          <w:szCs w:val="22"/>
        </w:rPr>
        <w:t>7.</w:t>
      </w:r>
      <w:r w:rsidRPr="00A34B56">
        <w:rPr>
          <w:rFonts w:asciiTheme="minorHAnsi" w:hAnsiTheme="minorHAnsi" w:cs="Arial"/>
          <w:color w:val="000000"/>
          <w:sz w:val="22"/>
          <w:szCs w:val="22"/>
        </w:rPr>
        <w:tab/>
        <w:t>The land to which the transaction relates must be "land used for primary production", which is defined in section 4 of the Act as land used primarily for:</w:t>
      </w:r>
    </w:p>
    <w:p w:rsidR="009D4240" w:rsidRPr="00A34B56" w:rsidRDefault="009D4240" w:rsidP="009D4240">
      <w:pPr>
        <w:widowControl/>
        <w:numPr>
          <w:ilvl w:val="0"/>
          <w:numId w:val="7"/>
        </w:numPr>
        <w:tabs>
          <w:tab w:val="clear" w:pos="1080"/>
        </w:tabs>
        <w:suppressAutoHyphens w:val="0"/>
        <w:adjustRightInd w:val="0"/>
        <w:spacing w:before="60" w:after="60"/>
        <w:ind w:left="2126" w:hanging="567"/>
        <w:jc w:val="both"/>
        <w:textAlignment w:val="auto"/>
        <w:rPr>
          <w:rFonts w:asciiTheme="minorHAnsi" w:hAnsiTheme="minorHAnsi" w:cs="Arial"/>
          <w:color w:val="000000"/>
          <w:sz w:val="22"/>
          <w:szCs w:val="22"/>
        </w:rPr>
      </w:pPr>
      <w:r w:rsidRPr="00A34B56">
        <w:rPr>
          <w:rFonts w:asciiTheme="minorHAnsi" w:hAnsiTheme="minorHAnsi" w:cs="Arial"/>
          <w:color w:val="000000"/>
          <w:sz w:val="22"/>
          <w:szCs w:val="22"/>
        </w:rPr>
        <w:t>the cultivation of the land for the purpose of selling produce of the cultivation;</w:t>
      </w:r>
    </w:p>
    <w:p w:rsidR="00F44A8D" w:rsidRPr="009D4240" w:rsidRDefault="009D4240" w:rsidP="009D4240">
      <w:pPr>
        <w:widowControl/>
        <w:numPr>
          <w:ilvl w:val="0"/>
          <w:numId w:val="7"/>
        </w:numPr>
        <w:tabs>
          <w:tab w:val="clear" w:pos="1080"/>
        </w:tabs>
        <w:suppressAutoHyphens w:val="0"/>
        <w:adjustRightInd w:val="0"/>
        <w:spacing w:before="60" w:after="60"/>
        <w:ind w:left="2126" w:hanging="567"/>
        <w:jc w:val="both"/>
        <w:textAlignment w:val="auto"/>
        <w:rPr>
          <w:rFonts w:asciiTheme="minorHAnsi" w:hAnsiTheme="minorHAnsi" w:cs="Arial"/>
          <w:color w:val="000000"/>
          <w:sz w:val="22"/>
          <w:szCs w:val="22"/>
        </w:rPr>
      </w:pPr>
      <w:r w:rsidRPr="00A34B56">
        <w:rPr>
          <w:rFonts w:asciiTheme="minorHAnsi" w:hAnsiTheme="minorHAnsi" w:cs="Arial"/>
          <w:color w:val="000000"/>
          <w:sz w:val="22"/>
          <w:szCs w:val="22"/>
        </w:rPr>
        <w:t>the maintenance of animals or poultry on the land for the purpose of selling them or their natural increase or bodily produce;</w:t>
      </w:r>
    </w:p>
    <w:p w:rsidR="00F44A8D" w:rsidRDefault="00F44A8D" w:rsidP="00AD4741">
      <w:pPr>
        <w:pStyle w:val="Heading2"/>
        <w:ind w:left="1701"/>
        <w:jc w:val="both"/>
        <w:sectPr w:rsidR="00F44A8D" w:rsidSect="00897C28">
          <w:headerReference w:type="default" r:id="rId9"/>
          <w:footerReference w:type="default" r:id="rId10"/>
          <w:footerReference w:type="first" r:id="rId11"/>
          <w:pgSz w:w="11910" w:h="16840" w:code="9"/>
          <w:pgMar w:top="-9" w:right="1137" w:bottom="1100" w:left="0" w:header="0" w:footer="318" w:gutter="0"/>
          <w:cols w:space="720"/>
          <w:titlePg/>
          <w:docGrid w:linePitch="326"/>
        </w:sectPr>
      </w:pPr>
    </w:p>
    <w:p w:rsidR="009D4240" w:rsidRPr="00A34B56" w:rsidRDefault="009D4240" w:rsidP="009D4240">
      <w:pPr>
        <w:widowControl/>
        <w:numPr>
          <w:ilvl w:val="0"/>
          <w:numId w:val="7"/>
        </w:numPr>
        <w:tabs>
          <w:tab w:val="clear" w:pos="1080"/>
        </w:tabs>
        <w:suppressAutoHyphens w:val="0"/>
        <w:adjustRightInd w:val="0"/>
        <w:spacing w:before="120" w:after="120"/>
        <w:ind w:left="1134" w:hanging="567"/>
        <w:jc w:val="both"/>
        <w:textAlignment w:val="auto"/>
        <w:rPr>
          <w:rFonts w:asciiTheme="minorHAnsi" w:hAnsiTheme="minorHAnsi" w:cs="Arial"/>
          <w:color w:val="000000"/>
          <w:sz w:val="22"/>
          <w:szCs w:val="22"/>
        </w:rPr>
      </w:pPr>
      <w:r w:rsidRPr="00A34B56">
        <w:rPr>
          <w:rFonts w:asciiTheme="minorHAnsi" w:hAnsiTheme="minorHAnsi" w:cs="Arial"/>
          <w:color w:val="000000"/>
          <w:sz w:val="22"/>
          <w:szCs w:val="22"/>
        </w:rPr>
        <w:lastRenderedPageBreak/>
        <w:t>the keeping of bees on the land for the purpose of selling their honey;</w:t>
      </w:r>
    </w:p>
    <w:p w:rsidR="009D4240" w:rsidRPr="00A34B56" w:rsidRDefault="009D4240" w:rsidP="009D4240">
      <w:pPr>
        <w:widowControl/>
        <w:numPr>
          <w:ilvl w:val="0"/>
          <w:numId w:val="7"/>
        </w:numPr>
        <w:tabs>
          <w:tab w:val="clear" w:pos="1080"/>
        </w:tabs>
        <w:suppressAutoHyphens w:val="0"/>
        <w:adjustRightInd w:val="0"/>
        <w:spacing w:before="120" w:after="120"/>
        <w:ind w:left="1134" w:hanging="567"/>
        <w:jc w:val="both"/>
        <w:textAlignment w:val="auto"/>
        <w:rPr>
          <w:rFonts w:asciiTheme="minorHAnsi" w:hAnsiTheme="minorHAnsi" w:cs="Arial"/>
          <w:color w:val="000000"/>
          <w:sz w:val="22"/>
          <w:szCs w:val="22"/>
        </w:rPr>
      </w:pPr>
      <w:r w:rsidRPr="00A34B56">
        <w:rPr>
          <w:rFonts w:asciiTheme="minorHAnsi" w:hAnsiTheme="minorHAnsi" w:cs="Arial"/>
          <w:color w:val="000000"/>
          <w:sz w:val="22"/>
          <w:szCs w:val="22"/>
        </w:rPr>
        <w:t>a plant nursery;</w:t>
      </w:r>
    </w:p>
    <w:p w:rsidR="009D4240" w:rsidRPr="00A34B56" w:rsidRDefault="009D4240" w:rsidP="009D4240">
      <w:pPr>
        <w:widowControl/>
        <w:numPr>
          <w:ilvl w:val="0"/>
          <w:numId w:val="7"/>
        </w:numPr>
        <w:tabs>
          <w:tab w:val="clear" w:pos="1080"/>
        </w:tabs>
        <w:suppressAutoHyphens w:val="0"/>
        <w:adjustRightInd w:val="0"/>
        <w:spacing w:before="120" w:after="120"/>
        <w:ind w:left="1134" w:hanging="567"/>
        <w:jc w:val="both"/>
        <w:textAlignment w:val="auto"/>
        <w:rPr>
          <w:rFonts w:asciiTheme="minorHAnsi" w:hAnsiTheme="minorHAnsi" w:cs="Arial"/>
          <w:color w:val="000000"/>
          <w:sz w:val="22"/>
          <w:szCs w:val="22"/>
        </w:rPr>
      </w:pPr>
      <w:r w:rsidRPr="00A34B56">
        <w:rPr>
          <w:rFonts w:asciiTheme="minorHAnsi" w:hAnsiTheme="minorHAnsi" w:cs="Arial"/>
          <w:color w:val="000000"/>
          <w:sz w:val="22"/>
          <w:szCs w:val="22"/>
        </w:rPr>
        <w:t>the propagation for sale of mushrooms, orchids or flowers;  or</w:t>
      </w:r>
    </w:p>
    <w:p w:rsidR="009D4240" w:rsidRPr="00A34B56" w:rsidRDefault="009D4240" w:rsidP="009D4240">
      <w:pPr>
        <w:widowControl/>
        <w:numPr>
          <w:ilvl w:val="0"/>
          <w:numId w:val="7"/>
        </w:numPr>
        <w:tabs>
          <w:tab w:val="clear" w:pos="1080"/>
        </w:tabs>
        <w:suppressAutoHyphens w:val="0"/>
        <w:adjustRightInd w:val="0"/>
        <w:spacing w:before="120" w:after="120"/>
        <w:ind w:left="1134" w:hanging="567"/>
        <w:jc w:val="both"/>
        <w:textAlignment w:val="auto"/>
        <w:rPr>
          <w:rFonts w:asciiTheme="minorHAnsi" w:hAnsiTheme="minorHAnsi" w:cs="Arial"/>
          <w:color w:val="000000"/>
          <w:sz w:val="22"/>
          <w:szCs w:val="22"/>
        </w:rPr>
      </w:pPr>
      <w:proofErr w:type="gramStart"/>
      <w:r w:rsidRPr="00A34B56">
        <w:rPr>
          <w:rFonts w:asciiTheme="minorHAnsi" w:hAnsiTheme="minorHAnsi" w:cs="Arial"/>
          <w:color w:val="000000"/>
          <w:sz w:val="22"/>
          <w:szCs w:val="22"/>
        </w:rPr>
        <w:t>aquaculture</w:t>
      </w:r>
      <w:proofErr w:type="gramEnd"/>
      <w:r w:rsidRPr="00A34B56">
        <w:rPr>
          <w:rFonts w:asciiTheme="minorHAnsi" w:hAnsiTheme="minorHAnsi" w:cs="Arial"/>
          <w:color w:val="000000"/>
          <w:sz w:val="22"/>
          <w:szCs w:val="22"/>
        </w:rPr>
        <w:t>.</w:t>
      </w:r>
    </w:p>
    <w:p w:rsidR="009D4240" w:rsidRPr="00A34B56" w:rsidRDefault="009D4240" w:rsidP="009D4240">
      <w:pPr>
        <w:adjustRightInd w:val="0"/>
        <w:spacing w:before="120" w:after="120"/>
        <w:ind w:left="567" w:hanging="567"/>
        <w:jc w:val="both"/>
        <w:rPr>
          <w:rFonts w:asciiTheme="minorHAnsi" w:hAnsiTheme="minorHAnsi" w:cs="Arial"/>
          <w:color w:val="000000"/>
          <w:sz w:val="22"/>
          <w:szCs w:val="22"/>
        </w:rPr>
      </w:pPr>
      <w:r w:rsidRPr="00A34B56">
        <w:rPr>
          <w:rFonts w:asciiTheme="minorHAnsi" w:hAnsiTheme="minorHAnsi" w:cs="Arial"/>
          <w:color w:val="000000"/>
          <w:sz w:val="22"/>
          <w:szCs w:val="22"/>
        </w:rPr>
        <w:t>8.</w:t>
      </w:r>
      <w:r w:rsidRPr="00A34B56">
        <w:rPr>
          <w:rFonts w:asciiTheme="minorHAnsi" w:hAnsiTheme="minorHAnsi" w:cs="Arial"/>
          <w:color w:val="000000"/>
          <w:sz w:val="22"/>
          <w:szCs w:val="22"/>
        </w:rPr>
        <w:tab/>
        <w:t xml:space="preserve">The Commissioner for </w:t>
      </w:r>
      <w:smartTag w:uri="urn:schemas-microsoft-com:office:smarttags" w:element="PersonName">
        <w:r w:rsidRPr="00A34B56">
          <w:rPr>
            <w:rFonts w:asciiTheme="minorHAnsi" w:hAnsiTheme="minorHAnsi" w:cs="Arial"/>
            <w:color w:val="000000"/>
            <w:sz w:val="22"/>
            <w:szCs w:val="22"/>
          </w:rPr>
          <w:t>ACT Revenue</w:t>
        </w:r>
      </w:smartTag>
      <w:r w:rsidRPr="00A34B56">
        <w:rPr>
          <w:rFonts w:asciiTheme="minorHAnsi" w:hAnsiTheme="minorHAnsi" w:cs="Arial"/>
          <w:color w:val="000000"/>
          <w:sz w:val="22"/>
          <w:szCs w:val="22"/>
        </w:rPr>
        <w:t xml:space="preserve"> must be satisfied that the land was used for primary production by the transferor immediately before the transaction, and that the land will continue to be used for primary production by the transferee (subparagraphs 230 (1) (a) and (b) of the Act). </w:t>
      </w:r>
    </w:p>
    <w:p w:rsidR="009D4240" w:rsidRPr="00A34B56" w:rsidRDefault="009D4240" w:rsidP="009D4240">
      <w:pPr>
        <w:adjustRightInd w:val="0"/>
        <w:spacing w:before="120" w:after="120"/>
        <w:ind w:left="567" w:hanging="567"/>
        <w:jc w:val="both"/>
        <w:rPr>
          <w:rFonts w:asciiTheme="minorHAnsi" w:hAnsiTheme="minorHAnsi" w:cs="Arial"/>
          <w:color w:val="000000"/>
          <w:sz w:val="22"/>
          <w:szCs w:val="22"/>
        </w:rPr>
      </w:pPr>
      <w:r w:rsidRPr="00A34B56">
        <w:rPr>
          <w:rFonts w:asciiTheme="minorHAnsi" w:hAnsiTheme="minorHAnsi" w:cs="Arial"/>
          <w:color w:val="000000"/>
          <w:sz w:val="22"/>
          <w:szCs w:val="22"/>
        </w:rPr>
        <w:t>9.</w:t>
      </w:r>
      <w:r w:rsidRPr="00A34B56">
        <w:rPr>
          <w:rFonts w:asciiTheme="minorHAnsi" w:hAnsiTheme="minorHAnsi" w:cs="Arial"/>
          <w:color w:val="000000"/>
          <w:sz w:val="22"/>
          <w:szCs w:val="22"/>
        </w:rPr>
        <w:tab/>
        <w:t>The exemption will not be granted if at the time of the eligible transaction, the primary production business is leased to a person who is not a descendant (subparagraph 3 (d) of the Instrument).</w:t>
      </w:r>
    </w:p>
    <w:p w:rsidR="009D4240" w:rsidRPr="00A34B56" w:rsidRDefault="009D4240" w:rsidP="009D4240">
      <w:pPr>
        <w:adjustRightInd w:val="0"/>
        <w:spacing w:before="120" w:after="120"/>
        <w:ind w:left="142"/>
        <w:jc w:val="both"/>
        <w:rPr>
          <w:rFonts w:asciiTheme="minorHAnsi" w:hAnsiTheme="minorHAnsi" w:cs="Arial"/>
          <w:b/>
          <w:bCs/>
          <w:color w:val="000000"/>
          <w:sz w:val="22"/>
          <w:szCs w:val="22"/>
          <w:u w:val="single"/>
        </w:rPr>
      </w:pPr>
      <w:r w:rsidRPr="00A34B56">
        <w:rPr>
          <w:rFonts w:asciiTheme="minorHAnsi" w:hAnsiTheme="minorHAnsi" w:cs="Arial"/>
          <w:b/>
          <w:bCs/>
          <w:color w:val="000000"/>
          <w:sz w:val="22"/>
          <w:szCs w:val="22"/>
          <w:u w:val="single"/>
        </w:rPr>
        <w:t>Parties to the Transaction</w:t>
      </w:r>
    </w:p>
    <w:p w:rsidR="009D4240" w:rsidRPr="00A34B56" w:rsidRDefault="009D4240" w:rsidP="009D4240">
      <w:pPr>
        <w:adjustRightInd w:val="0"/>
        <w:spacing w:before="120" w:after="120"/>
        <w:ind w:left="567" w:hanging="567"/>
        <w:jc w:val="both"/>
        <w:rPr>
          <w:rFonts w:asciiTheme="minorHAnsi" w:hAnsiTheme="minorHAnsi" w:cs="Arial"/>
          <w:color w:val="000000"/>
          <w:sz w:val="22"/>
          <w:szCs w:val="22"/>
        </w:rPr>
      </w:pPr>
      <w:r w:rsidRPr="00A34B56">
        <w:rPr>
          <w:rFonts w:asciiTheme="minorHAnsi" w:hAnsiTheme="minorHAnsi" w:cs="Arial"/>
          <w:color w:val="000000"/>
          <w:sz w:val="22"/>
          <w:szCs w:val="22"/>
        </w:rPr>
        <w:t>10.</w:t>
      </w:r>
      <w:r w:rsidRPr="00A34B56">
        <w:rPr>
          <w:rFonts w:asciiTheme="minorHAnsi" w:hAnsiTheme="minorHAnsi" w:cs="Arial"/>
          <w:color w:val="000000"/>
          <w:sz w:val="22"/>
          <w:szCs w:val="22"/>
        </w:rPr>
        <w:tab/>
        <w:t>The transferee, lessee or assignee must be a natural person who is a descendant of the transferor, lessor or assignor in accordance with the following table:</w:t>
      </w:r>
    </w:p>
    <w:tbl>
      <w:tblPr>
        <w:tblStyle w:val="TableGrid"/>
        <w:tblW w:w="10065" w:type="dxa"/>
        <w:tblInd w:w="-34" w:type="dxa"/>
        <w:tblLook w:val="00BF"/>
      </w:tblPr>
      <w:tblGrid>
        <w:gridCol w:w="3261"/>
        <w:gridCol w:w="6804"/>
      </w:tblGrid>
      <w:tr w:rsidR="009D4240" w:rsidRPr="009D4240" w:rsidTr="009D4240">
        <w:tc>
          <w:tcPr>
            <w:tcW w:w="3261" w:type="dxa"/>
            <w:shd w:val="clear" w:color="auto" w:fill="F2F2F2" w:themeFill="background1" w:themeFillShade="F2"/>
          </w:tcPr>
          <w:p w:rsidR="009D4240" w:rsidRPr="009D4240" w:rsidRDefault="009D4240" w:rsidP="009D4240">
            <w:pPr>
              <w:autoSpaceDN w:val="0"/>
              <w:adjustRightInd w:val="0"/>
              <w:spacing w:before="120" w:after="120"/>
              <w:ind w:left="142"/>
              <w:rPr>
                <w:rFonts w:asciiTheme="minorHAnsi" w:hAnsiTheme="minorHAnsi" w:cs="Arial"/>
                <w:color w:val="000000"/>
                <w:sz w:val="20"/>
                <w:szCs w:val="20"/>
              </w:rPr>
            </w:pPr>
            <w:r w:rsidRPr="009D4240">
              <w:rPr>
                <w:rFonts w:asciiTheme="minorHAnsi" w:hAnsiTheme="minorHAnsi" w:cs="Arial"/>
                <w:b/>
                <w:bCs/>
                <w:color w:val="000000"/>
                <w:sz w:val="20"/>
                <w:szCs w:val="20"/>
              </w:rPr>
              <w:t xml:space="preserve">Transferor, lessor or assignor </w:t>
            </w:r>
          </w:p>
        </w:tc>
        <w:tc>
          <w:tcPr>
            <w:tcW w:w="6804" w:type="dxa"/>
            <w:shd w:val="clear" w:color="auto" w:fill="F2F2F2" w:themeFill="background1" w:themeFillShade="F2"/>
          </w:tcPr>
          <w:p w:rsidR="009D4240" w:rsidRPr="009D4240" w:rsidRDefault="009D4240" w:rsidP="009D4240">
            <w:pPr>
              <w:autoSpaceDN w:val="0"/>
              <w:adjustRightInd w:val="0"/>
              <w:spacing w:before="120" w:after="120"/>
              <w:ind w:left="175"/>
              <w:rPr>
                <w:rFonts w:asciiTheme="minorHAnsi" w:hAnsiTheme="minorHAnsi" w:cs="Arial"/>
                <w:color w:val="000000"/>
                <w:sz w:val="20"/>
                <w:szCs w:val="20"/>
              </w:rPr>
            </w:pPr>
            <w:r w:rsidRPr="009D4240">
              <w:rPr>
                <w:rFonts w:asciiTheme="minorHAnsi" w:hAnsiTheme="minorHAnsi" w:cs="Arial"/>
                <w:b/>
                <w:bCs/>
                <w:color w:val="000000"/>
                <w:sz w:val="20"/>
                <w:szCs w:val="20"/>
              </w:rPr>
              <w:t>Transferee, lessee or assignee</w:t>
            </w:r>
          </w:p>
        </w:tc>
      </w:tr>
      <w:tr w:rsidR="009D4240" w:rsidRPr="00A34B56" w:rsidTr="009D4240">
        <w:tc>
          <w:tcPr>
            <w:tcW w:w="3261" w:type="dxa"/>
          </w:tcPr>
          <w:p w:rsidR="009D4240" w:rsidRPr="00A34B56" w:rsidRDefault="009D4240" w:rsidP="009D4240">
            <w:pPr>
              <w:autoSpaceDN w:val="0"/>
              <w:adjustRightInd w:val="0"/>
              <w:spacing w:before="120" w:after="120"/>
              <w:ind w:left="142"/>
              <w:rPr>
                <w:rFonts w:asciiTheme="minorHAnsi" w:hAnsiTheme="minorHAnsi" w:cs="Arial"/>
                <w:color w:val="000000"/>
                <w:sz w:val="18"/>
                <w:szCs w:val="18"/>
              </w:rPr>
            </w:pPr>
            <w:r w:rsidRPr="00A34B56">
              <w:rPr>
                <w:rFonts w:asciiTheme="minorHAnsi" w:hAnsiTheme="minorHAnsi" w:cs="Arial"/>
                <w:color w:val="000000"/>
                <w:sz w:val="18"/>
                <w:szCs w:val="18"/>
              </w:rPr>
              <w:t>Natural person</w:t>
            </w:r>
          </w:p>
        </w:tc>
        <w:tc>
          <w:tcPr>
            <w:tcW w:w="6804" w:type="dxa"/>
          </w:tcPr>
          <w:p w:rsidR="009D4240" w:rsidRPr="00A34B56" w:rsidRDefault="009D4240" w:rsidP="009D4240">
            <w:pPr>
              <w:autoSpaceDN w:val="0"/>
              <w:adjustRightInd w:val="0"/>
              <w:spacing w:before="120" w:after="120"/>
              <w:ind w:left="175"/>
              <w:rPr>
                <w:rFonts w:asciiTheme="minorHAnsi" w:hAnsiTheme="minorHAnsi" w:cs="Arial"/>
                <w:color w:val="000000"/>
                <w:sz w:val="18"/>
                <w:szCs w:val="18"/>
              </w:rPr>
            </w:pPr>
            <w:r w:rsidRPr="00A34B56">
              <w:rPr>
                <w:rFonts w:asciiTheme="minorHAnsi" w:hAnsiTheme="minorHAnsi" w:cs="Arial"/>
                <w:color w:val="000000"/>
                <w:sz w:val="18"/>
                <w:szCs w:val="18"/>
              </w:rPr>
              <w:t>Descendant of the transferor, lessor or assignor</w:t>
            </w:r>
          </w:p>
        </w:tc>
      </w:tr>
      <w:tr w:rsidR="009D4240" w:rsidRPr="00A34B56" w:rsidTr="009D4240">
        <w:tc>
          <w:tcPr>
            <w:tcW w:w="3261" w:type="dxa"/>
          </w:tcPr>
          <w:p w:rsidR="009D4240" w:rsidRPr="00A34B56" w:rsidRDefault="009D4240" w:rsidP="009D4240">
            <w:pPr>
              <w:autoSpaceDN w:val="0"/>
              <w:adjustRightInd w:val="0"/>
              <w:spacing w:before="120" w:after="120"/>
              <w:ind w:left="142"/>
              <w:rPr>
                <w:rFonts w:asciiTheme="minorHAnsi" w:hAnsiTheme="minorHAnsi" w:cs="Arial"/>
                <w:color w:val="000000"/>
                <w:sz w:val="18"/>
                <w:szCs w:val="18"/>
              </w:rPr>
            </w:pPr>
            <w:r w:rsidRPr="00A34B56">
              <w:rPr>
                <w:rFonts w:asciiTheme="minorHAnsi" w:hAnsiTheme="minorHAnsi" w:cs="Arial"/>
                <w:color w:val="000000"/>
                <w:sz w:val="18"/>
                <w:szCs w:val="18"/>
              </w:rPr>
              <w:t>Proprietary limited company</w:t>
            </w:r>
          </w:p>
        </w:tc>
        <w:tc>
          <w:tcPr>
            <w:tcW w:w="6804" w:type="dxa"/>
          </w:tcPr>
          <w:p w:rsidR="009D4240" w:rsidRPr="00A34B56" w:rsidRDefault="009D4240" w:rsidP="009D4240">
            <w:pPr>
              <w:autoSpaceDN w:val="0"/>
              <w:adjustRightInd w:val="0"/>
              <w:spacing w:before="120" w:after="120"/>
              <w:ind w:left="175"/>
              <w:rPr>
                <w:rFonts w:asciiTheme="minorHAnsi" w:hAnsiTheme="minorHAnsi" w:cs="Arial"/>
                <w:color w:val="000000"/>
                <w:sz w:val="18"/>
                <w:szCs w:val="18"/>
              </w:rPr>
            </w:pPr>
            <w:r w:rsidRPr="00A34B56">
              <w:rPr>
                <w:rFonts w:asciiTheme="minorHAnsi" w:hAnsiTheme="minorHAnsi" w:cs="Arial"/>
                <w:color w:val="000000"/>
                <w:sz w:val="18"/>
                <w:szCs w:val="18"/>
              </w:rPr>
              <w:t>Descendant of a shareholder or shareholders:</w:t>
            </w:r>
          </w:p>
          <w:p w:rsidR="009D4240" w:rsidRPr="00A34B56" w:rsidRDefault="009D4240" w:rsidP="009D4240">
            <w:pPr>
              <w:widowControl/>
              <w:numPr>
                <w:ilvl w:val="0"/>
                <w:numId w:val="9"/>
              </w:numPr>
              <w:suppressAutoHyphens w:val="0"/>
              <w:autoSpaceDN w:val="0"/>
              <w:adjustRightInd w:val="0"/>
              <w:spacing w:before="40" w:after="40"/>
              <w:ind w:left="460" w:hanging="437"/>
              <w:rPr>
                <w:rFonts w:asciiTheme="minorHAnsi" w:hAnsiTheme="minorHAnsi" w:cs="Arial"/>
                <w:color w:val="000000"/>
                <w:sz w:val="18"/>
                <w:szCs w:val="18"/>
              </w:rPr>
            </w:pPr>
            <w:r w:rsidRPr="00A34B56">
              <w:rPr>
                <w:rFonts w:asciiTheme="minorHAnsi" w:hAnsiTheme="minorHAnsi" w:cs="Arial"/>
                <w:color w:val="000000"/>
                <w:sz w:val="18"/>
                <w:szCs w:val="18"/>
              </w:rPr>
              <w:t>where the shareholder or shareholders hold(s) the shares beneficially in the company;</w:t>
            </w:r>
          </w:p>
          <w:p w:rsidR="009D4240" w:rsidRPr="00A34B56" w:rsidRDefault="009D4240" w:rsidP="009D4240">
            <w:pPr>
              <w:widowControl/>
              <w:numPr>
                <w:ilvl w:val="0"/>
                <w:numId w:val="9"/>
              </w:numPr>
              <w:suppressAutoHyphens w:val="0"/>
              <w:autoSpaceDN w:val="0"/>
              <w:adjustRightInd w:val="0"/>
              <w:spacing w:before="40" w:after="40"/>
              <w:ind w:left="460" w:hanging="437"/>
              <w:rPr>
                <w:rFonts w:asciiTheme="minorHAnsi" w:hAnsiTheme="minorHAnsi" w:cs="Arial"/>
                <w:color w:val="000000"/>
                <w:sz w:val="18"/>
                <w:szCs w:val="18"/>
              </w:rPr>
            </w:pPr>
            <w:r w:rsidRPr="00A34B56">
              <w:rPr>
                <w:rFonts w:asciiTheme="minorHAnsi" w:hAnsiTheme="minorHAnsi" w:cs="Arial"/>
                <w:color w:val="000000"/>
                <w:sz w:val="18"/>
                <w:szCs w:val="18"/>
              </w:rPr>
              <w:t>where the shareholder or shareholders is entitled to vote at meetings of the company;  and</w:t>
            </w:r>
          </w:p>
          <w:p w:rsidR="009D4240" w:rsidRPr="00A34B56" w:rsidRDefault="009D4240" w:rsidP="009D4240">
            <w:pPr>
              <w:widowControl/>
              <w:numPr>
                <w:ilvl w:val="0"/>
                <w:numId w:val="9"/>
              </w:numPr>
              <w:suppressAutoHyphens w:val="0"/>
              <w:autoSpaceDN w:val="0"/>
              <w:adjustRightInd w:val="0"/>
              <w:spacing w:before="40" w:after="40"/>
              <w:ind w:left="460" w:hanging="437"/>
              <w:rPr>
                <w:rFonts w:asciiTheme="minorHAnsi" w:hAnsiTheme="minorHAnsi" w:cs="Arial"/>
                <w:color w:val="000000"/>
                <w:sz w:val="18"/>
                <w:szCs w:val="18"/>
              </w:rPr>
            </w:pPr>
            <w:r w:rsidRPr="00A34B56">
              <w:rPr>
                <w:rFonts w:asciiTheme="minorHAnsi" w:hAnsiTheme="minorHAnsi" w:cs="Arial"/>
                <w:color w:val="000000"/>
                <w:sz w:val="18"/>
                <w:szCs w:val="18"/>
              </w:rPr>
              <w:t>where the shareholder or shareholders was entitled (as a shareholder(s)) to at least 25% of the assets of the company on winding up, being an entitlement which existed for at least 3 years prior to the date of transfer, lease or assignment, unless the company was incorporated within 3 years of that date.</w:t>
            </w:r>
          </w:p>
        </w:tc>
      </w:tr>
      <w:tr w:rsidR="009D4240" w:rsidRPr="00A34B56" w:rsidTr="009D4240">
        <w:tc>
          <w:tcPr>
            <w:tcW w:w="3261" w:type="dxa"/>
          </w:tcPr>
          <w:p w:rsidR="009D4240" w:rsidRPr="00A34B56" w:rsidRDefault="009D4240" w:rsidP="009D4240">
            <w:pPr>
              <w:autoSpaceDN w:val="0"/>
              <w:adjustRightInd w:val="0"/>
              <w:spacing w:before="120" w:after="120"/>
              <w:ind w:left="142"/>
              <w:rPr>
                <w:rFonts w:asciiTheme="minorHAnsi" w:hAnsiTheme="minorHAnsi" w:cs="Arial"/>
                <w:color w:val="000000"/>
                <w:sz w:val="18"/>
                <w:szCs w:val="18"/>
              </w:rPr>
            </w:pPr>
            <w:r w:rsidRPr="00A34B56">
              <w:rPr>
                <w:rFonts w:asciiTheme="minorHAnsi" w:hAnsiTheme="minorHAnsi" w:cs="Arial"/>
                <w:color w:val="000000"/>
                <w:sz w:val="18"/>
                <w:szCs w:val="18"/>
              </w:rPr>
              <w:t xml:space="preserve">Trustee of a bare trust for named beneficiaries </w:t>
            </w:r>
          </w:p>
        </w:tc>
        <w:tc>
          <w:tcPr>
            <w:tcW w:w="6804" w:type="dxa"/>
          </w:tcPr>
          <w:p w:rsidR="009D4240" w:rsidRPr="00A34B56" w:rsidRDefault="009D4240" w:rsidP="009D4240">
            <w:pPr>
              <w:autoSpaceDN w:val="0"/>
              <w:adjustRightInd w:val="0"/>
              <w:spacing w:before="120" w:after="120"/>
              <w:ind w:left="142"/>
              <w:rPr>
                <w:rFonts w:asciiTheme="minorHAnsi" w:hAnsiTheme="minorHAnsi" w:cs="Arial"/>
                <w:color w:val="000000"/>
                <w:sz w:val="18"/>
                <w:szCs w:val="18"/>
              </w:rPr>
            </w:pPr>
            <w:r w:rsidRPr="00A34B56">
              <w:rPr>
                <w:rFonts w:asciiTheme="minorHAnsi" w:hAnsiTheme="minorHAnsi" w:cs="Arial"/>
                <w:color w:val="000000"/>
                <w:sz w:val="18"/>
                <w:szCs w:val="18"/>
              </w:rPr>
              <w:t>Descendant of a named beneficiary of the trust</w:t>
            </w:r>
          </w:p>
        </w:tc>
      </w:tr>
      <w:tr w:rsidR="009D4240" w:rsidRPr="00A34B56" w:rsidTr="009D4240">
        <w:trPr>
          <w:trHeight w:val="724"/>
        </w:trPr>
        <w:tc>
          <w:tcPr>
            <w:tcW w:w="3261" w:type="dxa"/>
          </w:tcPr>
          <w:p w:rsidR="009D4240" w:rsidRPr="00A34B56" w:rsidRDefault="009D4240" w:rsidP="009D4240">
            <w:pPr>
              <w:autoSpaceDN w:val="0"/>
              <w:adjustRightInd w:val="0"/>
              <w:spacing w:before="120" w:after="120"/>
              <w:ind w:left="142"/>
              <w:rPr>
                <w:rFonts w:asciiTheme="minorHAnsi" w:hAnsiTheme="minorHAnsi" w:cs="Arial"/>
                <w:color w:val="000000"/>
                <w:sz w:val="18"/>
                <w:szCs w:val="18"/>
              </w:rPr>
            </w:pPr>
            <w:r w:rsidRPr="00A34B56">
              <w:rPr>
                <w:rFonts w:asciiTheme="minorHAnsi" w:hAnsiTheme="minorHAnsi" w:cs="Arial"/>
                <w:color w:val="000000"/>
                <w:sz w:val="18"/>
                <w:szCs w:val="18"/>
              </w:rPr>
              <w:t>Trustee of a discretionary trust</w:t>
            </w:r>
          </w:p>
        </w:tc>
        <w:tc>
          <w:tcPr>
            <w:tcW w:w="6804" w:type="dxa"/>
          </w:tcPr>
          <w:p w:rsidR="009D4240" w:rsidRPr="00A34B56" w:rsidRDefault="009D4240" w:rsidP="009D4240">
            <w:pPr>
              <w:autoSpaceDN w:val="0"/>
              <w:adjustRightInd w:val="0"/>
              <w:spacing w:before="120" w:after="120"/>
              <w:ind w:left="142"/>
              <w:rPr>
                <w:rFonts w:asciiTheme="minorHAnsi" w:hAnsiTheme="minorHAnsi" w:cs="Arial"/>
                <w:color w:val="000000"/>
                <w:sz w:val="18"/>
                <w:szCs w:val="18"/>
              </w:rPr>
            </w:pPr>
            <w:r w:rsidRPr="00A34B56">
              <w:rPr>
                <w:rFonts w:asciiTheme="minorHAnsi" w:hAnsiTheme="minorHAnsi" w:cs="Arial"/>
                <w:color w:val="000000"/>
                <w:sz w:val="18"/>
                <w:szCs w:val="18"/>
              </w:rPr>
              <w:t>Descendant of a person or persons who is or who are entitled (as takers in default of appointment) to at least 25% interest in the capital of the trust fund</w:t>
            </w:r>
          </w:p>
        </w:tc>
      </w:tr>
      <w:tr w:rsidR="009D4240" w:rsidRPr="00A34B56" w:rsidTr="009D4240">
        <w:trPr>
          <w:trHeight w:val="1985"/>
        </w:trPr>
        <w:tc>
          <w:tcPr>
            <w:tcW w:w="3261" w:type="dxa"/>
          </w:tcPr>
          <w:p w:rsidR="009D4240" w:rsidRPr="00A34B56" w:rsidRDefault="009D4240" w:rsidP="009D4240">
            <w:pPr>
              <w:autoSpaceDN w:val="0"/>
              <w:adjustRightInd w:val="0"/>
              <w:spacing w:before="120" w:after="120"/>
              <w:ind w:left="142"/>
              <w:rPr>
                <w:rFonts w:asciiTheme="minorHAnsi" w:hAnsiTheme="minorHAnsi" w:cs="Arial"/>
                <w:color w:val="000000"/>
                <w:sz w:val="18"/>
                <w:szCs w:val="18"/>
              </w:rPr>
            </w:pPr>
            <w:r w:rsidRPr="00A34B56">
              <w:rPr>
                <w:rFonts w:asciiTheme="minorHAnsi" w:hAnsiTheme="minorHAnsi" w:cs="Arial"/>
                <w:color w:val="000000"/>
                <w:sz w:val="18"/>
                <w:szCs w:val="18"/>
              </w:rPr>
              <w:t>Trustee of a private unit trust</w:t>
            </w:r>
          </w:p>
        </w:tc>
        <w:tc>
          <w:tcPr>
            <w:tcW w:w="6804" w:type="dxa"/>
          </w:tcPr>
          <w:p w:rsidR="009D4240" w:rsidRPr="00A34B56" w:rsidRDefault="009D4240" w:rsidP="009D4240">
            <w:pPr>
              <w:autoSpaceDN w:val="0"/>
              <w:adjustRightInd w:val="0"/>
              <w:spacing w:before="120" w:after="120"/>
              <w:ind w:left="142"/>
              <w:rPr>
                <w:rFonts w:asciiTheme="minorHAnsi" w:hAnsiTheme="minorHAnsi" w:cs="Arial"/>
                <w:color w:val="000000"/>
                <w:sz w:val="18"/>
                <w:szCs w:val="18"/>
              </w:rPr>
            </w:pPr>
            <w:r w:rsidRPr="00A34B56">
              <w:rPr>
                <w:rFonts w:asciiTheme="minorHAnsi" w:hAnsiTheme="minorHAnsi" w:cs="Arial"/>
                <w:color w:val="000000"/>
                <w:sz w:val="18"/>
                <w:szCs w:val="18"/>
              </w:rPr>
              <w:t>Descendant of a unit holder or unit holder’s:</w:t>
            </w:r>
          </w:p>
          <w:p w:rsidR="009D4240" w:rsidRPr="00A34B56" w:rsidRDefault="009D4240" w:rsidP="009D4240">
            <w:pPr>
              <w:widowControl/>
              <w:numPr>
                <w:ilvl w:val="0"/>
                <w:numId w:val="8"/>
              </w:numPr>
              <w:suppressAutoHyphens w:val="0"/>
              <w:autoSpaceDN w:val="0"/>
              <w:adjustRightInd w:val="0"/>
              <w:spacing w:before="40" w:after="40"/>
              <w:ind w:left="459" w:hanging="425"/>
              <w:rPr>
                <w:rFonts w:asciiTheme="minorHAnsi" w:hAnsiTheme="minorHAnsi" w:cs="Arial"/>
                <w:color w:val="000000"/>
                <w:sz w:val="18"/>
                <w:szCs w:val="18"/>
              </w:rPr>
            </w:pPr>
            <w:r w:rsidRPr="00A34B56">
              <w:rPr>
                <w:rFonts w:asciiTheme="minorHAnsi" w:hAnsiTheme="minorHAnsi" w:cs="Arial"/>
                <w:color w:val="000000"/>
                <w:sz w:val="18"/>
                <w:szCs w:val="18"/>
              </w:rPr>
              <w:t>where the unit holder or unit holders holds the units beneficially in the unit trust; and</w:t>
            </w:r>
          </w:p>
          <w:p w:rsidR="009D4240" w:rsidRPr="00A34B56" w:rsidRDefault="009D4240" w:rsidP="009D4240">
            <w:pPr>
              <w:widowControl/>
              <w:numPr>
                <w:ilvl w:val="0"/>
                <w:numId w:val="8"/>
              </w:numPr>
              <w:suppressAutoHyphens w:val="0"/>
              <w:autoSpaceDN w:val="0"/>
              <w:adjustRightInd w:val="0"/>
              <w:spacing w:before="40" w:after="40"/>
              <w:ind w:left="459" w:hanging="425"/>
              <w:rPr>
                <w:rFonts w:asciiTheme="minorHAnsi" w:hAnsiTheme="minorHAnsi" w:cs="Arial"/>
                <w:color w:val="000000"/>
                <w:sz w:val="18"/>
                <w:szCs w:val="18"/>
              </w:rPr>
            </w:pPr>
            <w:r w:rsidRPr="00A34B56">
              <w:rPr>
                <w:rFonts w:asciiTheme="minorHAnsi" w:hAnsiTheme="minorHAnsi" w:cs="Arial"/>
                <w:color w:val="000000"/>
                <w:sz w:val="18"/>
                <w:szCs w:val="18"/>
              </w:rPr>
              <w:t>where the unit holder or unit holders was entitled (as unit holder(s)) to at least 25% of the assets of the unit trust on winding up, being an entitlement which existed for at least 3 years prior to the date of transfer, lease or assignment unless the trust was established within 3 years of that date.</w:t>
            </w:r>
          </w:p>
        </w:tc>
      </w:tr>
    </w:tbl>
    <w:p w:rsidR="009D4240" w:rsidRPr="00A34B56" w:rsidRDefault="009D4240" w:rsidP="009D4240">
      <w:pPr>
        <w:adjustRightInd w:val="0"/>
        <w:spacing w:before="60" w:after="60"/>
        <w:ind w:left="-142"/>
        <w:rPr>
          <w:rFonts w:asciiTheme="minorHAnsi" w:hAnsiTheme="minorHAnsi" w:cs="Arial"/>
          <w:b/>
          <w:bCs/>
          <w:color w:val="000000"/>
          <w:sz w:val="22"/>
          <w:szCs w:val="22"/>
          <w:u w:val="single"/>
        </w:rPr>
      </w:pPr>
      <w:r w:rsidRPr="00A34B56">
        <w:rPr>
          <w:rFonts w:asciiTheme="minorHAnsi" w:hAnsiTheme="minorHAnsi" w:cs="Arial"/>
          <w:b/>
          <w:bCs/>
          <w:color w:val="000000"/>
          <w:sz w:val="22"/>
          <w:szCs w:val="22"/>
          <w:u w:val="single"/>
        </w:rPr>
        <w:t>“Descendant”</w:t>
      </w:r>
    </w:p>
    <w:p w:rsidR="009D4240" w:rsidRPr="00A34B56" w:rsidRDefault="009D4240" w:rsidP="009D4240">
      <w:pPr>
        <w:adjustRightInd w:val="0"/>
        <w:spacing w:before="60" w:after="60"/>
        <w:ind w:left="567" w:hanging="567"/>
        <w:rPr>
          <w:rFonts w:asciiTheme="minorHAnsi" w:hAnsiTheme="minorHAnsi" w:cs="Arial"/>
          <w:color w:val="000000"/>
          <w:sz w:val="22"/>
          <w:szCs w:val="22"/>
        </w:rPr>
      </w:pPr>
      <w:r w:rsidRPr="00A34B56">
        <w:rPr>
          <w:rFonts w:asciiTheme="minorHAnsi" w:hAnsiTheme="minorHAnsi" w:cs="Arial"/>
          <w:color w:val="000000"/>
          <w:sz w:val="22"/>
          <w:szCs w:val="22"/>
        </w:rPr>
        <w:t>11.</w:t>
      </w:r>
      <w:r w:rsidRPr="00A34B56">
        <w:rPr>
          <w:rFonts w:asciiTheme="minorHAnsi" w:hAnsiTheme="minorHAnsi" w:cs="Arial"/>
          <w:color w:val="000000"/>
          <w:sz w:val="22"/>
          <w:szCs w:val="22"/>
        </w:rPr>
        <w:tab/>
        <w:t>For the purposes of these guidelines, “descendant” means:</w:t>
      </w:r>
    </w:p>
    <w:p w:rsidR="009D4240" w:rsidRPr="00A34B56" w:rsidRDefault="009D4240" w:rsidP="009D4240">
      <w:pPr>
        <w:widowControl/>
        <w:numPr>
          <w:ilvl w:val="0"/>
          <w:numId w:val="10"/>
        </w:numPr>
        <w:tabs>
          <w:tab w:val="clear" w:pos="1080"/>
          <w:tab w:val="num" w:pos="851"/>
        </w:tabs>
        <w:suppressAutoHyphens w:val="0"/>
        <w:adjustRightInd w:val="0"/>
        <w:spacing w:before="60" w:after="60"/>
        <w:ind w:left="993"/>
        <w:textAlignment w:val="auto"/>
        <w:rPr>
          <w:rFonts w:asciiTheme="minorHAnsi" w:hAnsiTheme="minorHAnsi" w:cs="Arial"/>
          <w:color w:val="000000"/>
          <w:sz w:val="22"/>
          <w:szCs w:val="22"/>
        </w:rPr>
      </w:pPr>
      <w:r w:rsidRPr="00A34B56">
        <w:rPr>
          <w:rFonts w:asciiTheme="minorHAnsi" w:hAnsiTheme="minorHAnsi" w:cs="Arial"/>
          <w:color w:val="000000"/>
          <w:sz w:val="22"/>
          <w:szCs w:val="22"/>
        </w:rPr>
        <w:t>child or stepchild;</w:t>
      </w:r>
    </w:p>
    <w:p w:rsidR="009D4240" w:rsidRPr="00A34B56" w:rsidRDefault="009D4240" w:rsidP="009D4240">
      <w:pPr>
        <w:widowControl/>
        <w:numPr>
          <w:ilvl w:val="0"/>
          <w:numId w:val="10"/>
        </w:numPr>
        <w:tabs>
          <w:tab w:val="clear" w:pos="1080"/>
          <w:tab w:val="num" w:pos="851"/>
        </w:tabs>
        <w:suppressAutoHyphens w:val="0"/>
        <w:adjustRightInd w:val="0"/>
        <w:spacing w:before="60" w:after="60"/>
        <w:ind w:left="993"/>
        <w:textAlignment w:val="auto"/>
        <w:rPr>
          <w:rFonts w:asciiTheme="minorHAnsi" w:hAnsiTheme="minorHAnsi" w:cs="Arial"/>
          <w:color w:val="000000"/>
          <w:sz w:val="22"/>
          <w:szCs w:val="22"/>
        </w:rPr>
      </w:pPr>
      <w:r w:rsidRPr="00A34B56">
        <w:rPr>
          <w:rFonts w:asciiTheme="minorHAnsi" w:hAnsiTheme="minorHAnsi" w:cs="Arial"/>
          <w:color w:val="000000"/>
          <w:sz w:val="22"/>
          <w:szCs w:val="22"/>
        </w:rPr>
        <w:t>grandchild;</w:t>
      </w:r>
    </w:p>
    <w:p w:rsidR="009D4240" w:rsidRPr="00A34B56" w:rsidRDefault="009D4240" w:rsidP="009D4240">
      <w:pPr>
        <w:widowControl/>
        <w:numPr>
          <w:ilvl w:val="0"/>
          <w:numId w:val="10"/>
        </w:numPr>
        <w:tabs>
          <w:tab w:val="clear" w:pos="1080"/>
          <w:tab w:val="num" w:pos="851"/>
        </w:tabs>
        <w:suppressAutoHyphens w:val="0"/>
        <w:adjustRightInd w:val="0"/>
        <w:spacing w:before="60" w:after="60"/>
        <w:ind w:left="993"/>
        <w:textAlignment w:val="auto"/>
        <w:rPr>
          <w:rFonts w:asciiTheme="minorHAnsi" w:hAnsiTheme="minorHAnsi" w:cs="Arial"/>
          <w:color w:val="000000"/>
          <w:sz w:val="22"/>
          <w:szCs w:val="22"/>
        </w:rPr>
      </w:pPr>
      <w:r w:rsidRPr="00A34B56">
        <w:rPr>
          <w:rFonts w:asciiTheme="minorHAnsi" w:hAnsiTheme="minorHAnsi" w:cs="Arial"/>
          <w:color w:val="000000"/>
          <w:sz w:val="22"/>
          <w:szCs w:val="22"/>
        </w:rPr>
        <w:t>brother or sister;</w:t>
      </w:r>
    </w:p>
    <w:p w:rsidR="009D4240" w:rsidRPr="00A34B56" w:rsidRDefault="009D4240" w:rsidP="009D4240">
      <w:pPr>
        <w:widowControl/>
        <w:numPr>
          <w:ilvl w:val="0"/>
          <w:numId w:val="10"/>
        </w:numPr>
        <w:tabs>
          <w:tab w:val="clear" w:pos="1080"/>
          <w:tab w:val="num" w:pos="851"/>
        </w:tabs>
        <w:suppressAutoHyphens w:val="0"/>
        <w:adjustRightInd w:val="0"/>
        <w:spacing w:before="60" w:after="60"/>
        <w:ind w:left="993"/>
        <w:textAlignment w:val="auto"/>
        <w:rPr>
          <w:rFonts w:asciiTheme="minorHAnsi" w:hAnsiTheme="minorHAnsi" w:cs="Arial"/>
          <w:color w:val="000000"/>
          <w:sz w:val="22"/>
          <w:szCs w:val="22"/>
        </w:rPr>
      </w:pPr>
      <w:proofErr w:type="gramStart"/>
      <w:r w:rsidRPr="00A34B56">
        <w:rPr>
          <w:rFonts w:asciiTheme="minorHAnsi" w:hAnsiTheme="minorHAnsi" w:cs="Arial"/>
          <w:color w:val="000000"/>
          <w:sz w:val="22"/>
          <w:szCs w:val="22"/>
        </w:rPr>
        <w:t>niece</w:t>
      </w:r>
      <w:proofErr w:type="gramEnd"/>
      <w:r w:rsidRPr="00A34B56">
        <w:rPr>
          <w:rFonts w:asciiTheme="minorHAnsi" w:hAnsiTheme="minorHAnsi" w:cs="Arial"/>
          <w:color w:val="000000"/>
          <w:sz w:val="22"/>
          <w:szCs w:val="22"/>
        </w:rPr>
        <w:t xml:space="preserve"> or nephew; or the spouse of any of the above.</w:t>
      </w:r>
    </w:p>
    <w:p w:rsidR="009D4240" w:rsidRPr="00A34B56" w:rsidRDefault="009D4240" w:rsidP="009D4240">
      <w:pPr>
        <w:adjustRightInd w:val="0"/>
        <w:spacing w:before="120" w:after="120"/>
        <w:ind w:left="-142"/>
        <w:rPr>
          <w:rFonts w:asciiTheme="minorHAnsi" w:hAnsiTheme="minorHAnsi" w:cs="Arial"/>
          <w:b/>
          <w:bCs/>
          <w:color w:val="000000"/>
          <w:sz w:val="22"/>
          <w:szCs w:val="22"/>
          <w:u w:val="single"/>
        </w:rPr>
      </w:pPr>
      <w:r w:rsidRPr="00A34B56">
        <w:rPr>
          <w:rFonts w:asciiTheme="minorHAnsi" w:hAnsiTheme="minorHAnsi" w:cs="Arial"/>
          <w:b/>
          <w:bCs/>
          <w:color w:val="000000"/>
          <w:sz w:val="22"/>
          <w:szCs w:val="22"/>
          <w:u w:val="single"/>
        </w:rPr>
        <w:t>Other Requirements</w:t>
      </w:r>
    </w:p>
    <w:p w:rsidR="009D4240" w:rsidRPr="00A34B56" w:rsidRDefault="009D4240" w:rsidP="009D4240">
      <w:pPr>
        <w:adjustRightInd w:val="0"/>
        <w:spacing w:before="60" w:after="60"/>
        <w:ind w:left="567" w:hanging="709"/>
        <w:jc w:val="both"/>
        <w:rPr>
          <w:rFonts w:asciiTheme="minorHAnsi" w:hAnsiTheme="minorHAnsi" w:cs="Arial"/>
          <w:color w:val="000000"/>
          <w:sz w:val="22"/>
          <w:szCs w:val="22"/>
        </w:rPr>
      </w:pPr>
      <w:r w:rsidRPr="00A34B56">
        <w:rPr>
          <w:rFonts w:asciiTheme="minorHAnsi" w:hAnsiTheme="minorHAnsi" w:cs="Arial"/>
          <w:color w:val="000000"/>
          <w:sz w:val="22"/>
          <w:szCs w:val="22"/>
        </w:rPr>
        <w:t>12.</w:t>
      </w:r>
      <w:r w:rsidRPr="00A34B56">
        <w:rPr>
          <w:rFonts w:asciiTheme="minorHAnsi" w:hAnsiTheme="minorHAnsi" w:cs="Arial"/>
          <w:color w:val="000000"/>
          <w:sz w:val="22"/>
          <w:szCs w:val="22"/>
        </w:rPr>
        <w:tab/>
        <w:t>The transferee must take legal and beneficial ownership of the property.</w:t>
      </w:r>
    </w:p>
    <w:p w:rsidR="009D4240" w:rsidRPr="00A34B56" w:rsidRDefault="009D4240" w:rsidP="009D4240">
      <w:pPr>
        <w:adjustRightInd w:val="0"/>
        <w:spacing w:before="60" w:after="60"/>
        <w:ind w:left="567" w:hanging="709"/>
        <w:jc w:val="both"/>
        <w:rPr>
          <w:rFonts w:asciiTheme="minorHAnsi" w:hAnsiTheme="minorHAnsi" w:cs="Arial"/>
          <w:color w:val="000000"/>
          <w:sz w:val="22"/>
          <w:szCs w:val="22"/>
        </w:rPr>
      </w:pPr>
      <w:r w:rsidRPr="00A34B56">
        <w:rPr>
          <w:rFonts w:asciiTheme="minorHAnsi" w:hAnsiTheme="minorHAnsi" w:cs="Arial"/>
          <w:color w:val="000000"/>
          <w:sz w:val="22"/>
          <w:szCs w:val="22"/>
        </w:rPr>
        <w:t>13.</w:t>
      </w:r>
      <w:r w:rsidRPr="00A34B56">
        <w:rPr>
          <w:rFonts w:asciiTheme="minorHAnsi" w:hAnsiTheme="minorHAnsi" w:cs="Arial"/>
          <w:color w:val="000000"/>
          <w:sz w:val="22"/>
          <w:szCs w:val="22"/>
        </w:rPr>
        <w:tab/>
        <w:t>The transferor may retain the farm house and the existing area of land on which the farm house is situated.</w:t>
      </w:r>
    </w:p>
    <w:p w:rsidR="009D4240" w:rsidRPr="00A34B56" w:rsidRDefault="009D4240" w:rsidP="009D4240">
      <w:pPr>
        <w:adjustRightInd w:val="0"/>
        <w:spacing w:before="60" w:after="60"/>
        <w:ind w:left="567" w:hanging="709"/>
        <w:jc w:val="both"/>
        <w:rPr>
          <w:rFonts w:asciiTheme="minorHAnsi" w:hAnsiTheme="minorHAnsi" w:cs="Arial"/>
          <w:color w:val="000000"/>
          <w:sz w:val="22"/>
          <w:szCs w:val="22"/>
        </w:rPr>
      </w:pPr>
      <w:r w:rsidRPr="00A34B56">
        <w:rPr>
          <w:rFonts w:asciiTheme="minorHAnsi" w:hAnsiTheme="minorHAnsi" w:cs="Arial"/>
          <w:color w:val="000000"/>
          <w:sz w:val="22"/>
          <w:szCs w:val="22"/>
        </w:rPr>
        <w:t>14.</w:t>
      </w:r>
      <w:r w:rsidRPr="00A34B56">
        <w:rPr>
          <w:rFonts w:asciiTheme="minorHAnsi" w:hAnsiTheme="minorHAnsi" w:cs="Arial"/>
          <w:color w:val="000000"/>
          <w:sz w:val="22"/>
          <w:szCs w:val="22"/>
        </w:rPr>
        <w:tab/>
        <w:t xml:space="preserve">Application for exemption must be made in the form of a letter to the Commissioner for </w:t>
      </w:r>
      <w:smartTag w:uri="urn:schemas-microsoft-com:office:smarttags" w:element="PersonName">
        <w:r w:rsidRPr="00A34B56">
          <w:rPr>
            <w:rFonts w:asciiTheme="minorHAnsi" w:hAnsiTheme="minorHAnsi" w:cs="Arial"/>
            <w:color w:val="000000"/>
            <w:sz w:val="22"/>
            <w:szCs w:val="22"/>
          </w:rPr>
          <w:t>ACT Revenue</w:t>
        </w:r>
      </w:smartTag>
      <w:r w:rsidRPr="00A34B56">
        <w:rPr>
          <w:rFonts w:asciiTheme="minorHAnsi" w:hAnsiTheme="minorHAnsi" w:cs="Arial"/>
          <w:color w:val="000000"/>
          <w:sz w:val="22"/>
          <w:szCs w:val="22"/>
        </w:rPr>
        <w:t xml:space="preserve"> addressing each of the issues specified in the guidelines that are relevant to the transaction.  The </w:t>
      </w:r>
      <w:r w:rsidRPr="00A34B56">
        <w:rPr>
          <w:rFonts w:asciiTheme="minorHAnsi" w:hAnsiTheme="minorHAnsi" w:cs="Arial"/>
          <w:color w:val="000000"/>
          <w:sz w:val="22"/>
          <w:szCs w:val="22"/>
        </w:rPr>
        <w:lastRenderedPageBreak/>
        <w:t>application must also:</w:t>
      </w:r>
    </w:p>
    <w:p w:rsidR="009D4240" w:rsidRPr="00A34B56" w:rsidRDefault="009D4240" w:rsidP="00644F9B">
      <w:pPr>
        <w:widowControl/>
        <w:numPr>
          <w:ilvl w:val="0"/>
          <w:numId w:val="11"/>
        </w:numPr>
        <w:tabs>
          <w:tab w:val="clear" w:pos="1080"/>
        </w:tabs>
        <w:suppressAutoHyphens w:val="0"/>
        <w:adjustRightInd w:val="0"/>
        <w:spacing w:before="60" w:after="60"/>
        <w:ind w:left="1418" w:hanging="567"/>
        <w:jc w:val="both"/>
        <w:textAlignment w:val="auto"/>
        <w:rPr>
          <w:rFonts w:asciiTheme="minorHAnsi" w:hAnsiTheme="minorHAnsi" w:cs="Arial"/>
          <w:color w:val="000000"/>
          <w:sz w:val="22"/>
          <w:szCs w:val="22"/>
        </w:rPr>
      </w:pPr>
      <w:r w:rsidRPr="00A34B56">
        <w:rPr>
          <w:rFonts w:asciiTheme="minorHAnsi" w:hAnsiTheme="minorHAnsi" w:cs="Arial"/>
          <w:color w:val="000000"/>
          <w:sz w:val="22"/>
          <w:szCs w:val="22"/>
        </w:rPr>
        <w:t>identify the nature of the eligible transaction and provide all relevant supporting information relating to the transaction;</w:t>
      </w:r>
    </w:p>
    <w:p w:rsidR="009D4240" w:rsidRPr="00A34B56" w:rsidRDefault="009D4240" w:rsidP="00644F9B">
      <w:pPr>
        <w:widowControl/>
        <w:numPr>
          <w:ilvl w:val="0"/>
          <w:numId w:val="11"/>
        </w:numPr>
        <w:tabs>
          <w:tab w:val="clear" w:pos="1080"/>
        </w:tabs>
        <w:suppressAutoHyphens w:val="0"/>
        <w:adjustRightInd w:val="0"/>
        <w:spacing w:before="60" w:after="60"/>
        <w:ind w:left="1418" w:hanging="567"/>
        <w:jc w:val="both"/>
        <w:textAlignment w:val="auto"/>
        <w:rPr>
          <w:rFonts w:asciiTheme="minorHAnsi" w:hAnsiTheme="minorHAnsi" w:cs="Arial"/>
          <w:color w:val="000000"/>
          <w:sz w:val="22"/>
          <w:szCs w:val="22"/>
        </w:rPr>
      </w:pPr>
      <w:r w:rsidRPr="00A34B56">
        <w:rPr>
          <w:rFonts w:asciiTheme="minorHAnsi" w:hAnsiTheme="minorHAnsi" w:cs="Arial"/>
          <w:color w:val="000000"/>
          <w:sz w:val="22"/>
          <w:szCs w:val="22"/>
        </w:rPr>
        <w:t>provide an estimate of the value of the land; and</w:t>
      </w:r>
    </w:p>
    <w:p w:rsidR="009D4240" w:rsidRPr="00A34B56" w:rsidRDefault="009D4240" w:rsidP="00644F9B">
      <w:pPr>
        <w:widowControl/>
        <w:numPr>
          <w:ilvl w:val="0"/>
          <w:numId w:val="11"/>
        </w:numPr>
        <w:tabs>
          <w:tab w:val="clear" w:pos="1080"/>
        </w:tabs>
        <w:suppressAutoHyphens w:val="0"/>
        <w:adjustRightInd w:val="0"/>
        <w:spacing w:before="60" w:after="60"/>
        <w:ind w:left="1418" w:hanging="567"/>
        <w:jc w:val="both"/>
        <w:textAlignment w:val="auto"/>
        <w:rPr>
          <w:rFonts w:asciiTheme="minorHAnsi" w:hAnsiTheme="minorHAnsi" w:cs="Arial"/>
          <w:color w:val="000000"/>
          <w:sz w:val="22"/>
          <w:szCs w:val="22"/>
        </w:rPr>
      </w:pPr>
      <w:r w:rsidRPr="00A34B56">
        <w:rPr>
          <w:rFonts w:asciiTheme="minorHAnsi" w:hAnsiTheme="minorHAnsi" w:cs="Arial"/>
          <w:color w:val="000000"/>
          <w:sz w:val="22"/>
          <w:szCs w:val="22"/>
        </w:rPr>
        <w:t>where the transferor is a:</w:t>
      </w:r>
    </w:p>
    <w:p w:rsidR="009D4240" w:rsidRPr="00A34B56" w:rsidRDefault="009D4240" w:rsidP="00644F9B">
      <w:pPr>
        <w:widowControl/>
        <w:numPr>
          <w:ilvl w:val="1"/>
          <w:numId w:val="11"/>
        </w:numPr>
        <w:tabs>
          <w:tab w:val="clear" w:pos="1800"/>
        </w:tabs>
        <w:suppressAutoHyphens w:val="0"/>
        <w:adjustRightInd w:val="0"/>
        <w:spacing w:before="60" w:after="60"/>
        <w:ind w:left="2127" w:hanging="709"/>
        <w:jc w:val="both"/>
        <w:textAlignment w:val="auto"/>
        <w:rPr>
          <w:rFonts w:asciiTheme="minorHAnsi" w:hAnsiTheme="minorHAnsi" w:cs="Arial"/>
          <w:color w:val="000000"/>
          <w:sz w:val="22"/>
          <w:szCs w:val="22"/>
        </w:rPr>
      </w:pPr>
      <w:r w:rsidRPr="00A34B56">
        <w:rPr>
          <w:rFonts w:asciiTheme="minorHAnsi" w:hAnsiTheme="minorHAnsi" w:cs="Arial"/>
          <w:color w:val="000000"/>
          <w:sz w:val="22"/>
          <w:szCs w:val="22"/>
        </w:rPr>
        <w:t>trustee of a discretionary trust or a trust for a named beneficiary — provide a copy of the stamped trust deed and any amendments;</w:t>
      </w:r>
    </w:p>
    <w:p w:rsidR="009D4240" w:rsidRPr="00A34B56" w:rsidRDefault="009D4240" w:rsidP="00644F9B">
      <w:pPr>
        <w:widowControl/>
        <w:numPr>
          <w:ilvl w:val="1"/>
          <w:numId w:val="11"/>
        </w:numPr>
        <w:tabs>
          <w:tab w:val="clear" w:pos="1800"/>
        </w:tabs>
        <w:suppressAutoHyphens w:val="0"/>
        <w:adjustRightInd w:val="0"/>
        <w:spacing w:before="60" w:after="60"/>
        <w:ind w:left="2127" w:hanging="709"/>
        <w:jc w:val="both"/>
        <w:textAlignment w:val="auto"/>
        <w:rPr>
          <w:rFonts w:asciiTheme="minorHAnsi" w:hAnsiTheme="minorHAnsi" w:cs="Arial"/>
          <w:color w:val="000000"/>
          <w:sz w:val="22"/>
          <w:szCs w:val="22"/>
        </w:rPr>
      </w:pPr>
      <w:r w:rsidRPr="00A34B56">
        <w:rPr>
          <w:rFonts w:asciiTheme="minorHAnsi" w:hAnsiTheme="minorHAnsi" w:cs="Arial"/>
          <w:color w:val="000000"/>
          <w:sz w:val="22"/>
          <w:szCs w:val="22"/>
        </w:rPr>
        <w:t>trustee of a unit trust — provide copies of the stamped trust deed and the latest balance sheet of the unit trust; or</w:t>
      </w:r>
    </w:p>
    <w:p w:rsidR="009D4240" w:rsidRPr="00A34B56" w:rsidRDefault="009D4240" w:rsidP="00644F9B">
      <w:pPr>
        <w:widowControl/>
        <w:numPr>
          <w:ilvl w:val="1"/>
          <w:numId w:val="11"/>
        </w:numPr>
        <w:tabs>
          <w:tab w:val="clear" w:pos="1800"/>
        </w:tabs>
        <w:suppressAutoHyphens w:val="0"/>
        <w:adjustRightInd w:val="0"/>
        <w:spacing w:before="60" w:after="60"/>
        <w:ind w:left="2127" w:hanging="709"/>
        <w:jc w:val="both"/>
        <w:textAlignment w:val="auto"/>
        <w:rPr>
          <w:rFonts w:asciiTheme="minorHAnsi" w:hAnsiTheme="minorHAnsi" w:cs="Arial"/>
          <w:color w:val="000000"/>
          <w:sz w:val="22"/>
          <w:szCs w:val="22"/>
        </w:rPr>
      </w:pPr>
      <w:proofErr w:type="gramStart"/>
      <w:r w:rsidRPr="00A34B56">
        <w:rPr>
          <w:rFonts w:asciiTheme="minorHAnsi" w:hAnsiTheme="minorHAnsi" w:cs="Arial"/>
          <w:color w:val="000000"/>
          <w:sz w:val="22"/>
          <w:szCs w:val="22"/>
        </w:rPr>
        <w:t>company</w:t>
      </w:r>
      <w:proofErr w:type="gramEnd"/>
      <w:r w:rsidRPr="00A34B56">
        <w:rPr>
          <w:rFonts w:asciiTheme="minorHAnsi" w:hAnsiTheme="minorHAnsi" w:cs="Arial"/>
          <w:color w:val="000000"/>
          <w:sz w:val="22"/>
          <w:szCs w:val="22"/>
        </w:rPr>
        <w:t xml:space="preserve"> — provide copies of the memorandum and articles of association, and the latest balance sheet of the company, together with a certified copy of the share register.</w:t>
      </w:r>
    </w:p>
    <w:p w:rsidR="009D4240" w:rsidRDefault="009D4240" w:rsidP="004C6051">
      <w:pPr>
        <w:pStyle w:val="PlainText"/>
        <w:spacing w:before="60" w:after="60"/>
        <w:ind w:left="-142"/>
        <w:rPr>
          <w:rFonts w:ascii="Calibri" w:hAnsi="Calibri"/>
          <w:sz w:val="24"/>
          <w:szCs w:val="23"/>
          <w:lang w:val="en-AU"/>
        </w:rPr>
      </w:pPr>
    </w:p>
    <w:p w:rsidR="009D4240" w:rsidRDefault="009D4240" w:rsidP="004C6051">
      <w:pPr>
        <w:pStyle w:val="PlainText"/>
        <w:spacing w:before="60" w:after="60"/>
        <w:ind w:left="-142"/>
        <w:rPr>
          <w:rFonts w:ascii="Calibri" w:hAnsi="Calibri"/>
          <w:sz w:val="24"/>
          <w:szCs w:val="23"/>
          <w:lang w:val="en-AU"/>
        </w:rPr>
      </w:pPr>
    </w:p>
    <w:p w:rsidR="00E81FA3" w:rsidRPr="00E3552D" w:rsidRDefault="00E81FA3" w:rsidP="004C6051">
      <w:pPr>
        <w:pStyle w:val="PlainText"/>
        <w:spacing w:before="60" w:after="60"/>
        <w:ind w:left="-142"/>
        <w:rPr>
          <w:rFonts w:ascii="Calibri" w:hAnsi="Calibri"/>
          <w:sz w:val="24"/>
          <w:szCs w:val="23"/>
          <w:lang w:val="en-AU"/>
        </w:rPr>
      </w:pPr>
      <w:r>
        <w:rPr>
          <w:rFonts w:ascii="Calibri" w:hAnsi="Calibri"/>
          <w:sz w:val="24"/>
          <w:szCs w:val="23"/>
          <w:lang w:val="en-AU"/>
        </w:rPr>
        <w:t>SIGNED</w:t>
      </w:r>
    </w:p>
    <w:p w:rsidR="00E81FA3" w:rsidRPr="00E3552D" w:rsidRDefault="00E81FA3" w:rsidP="004C6051">
      <w:pPr>
        <w:adjustRightInd w:val="0"/>
        <w:ind w:left="-142"/>
        <w:rPr>
          <w:rFonts w:cs="Arial"/>
          <w:bCs/>
        </w:rPr>
      </w:pPr>
    </w:p>
    <w:p w:rsidR="00E81FA3" w:rsidRPr="00E3552D" w:rsidRDefault="00E81FA3" w:rsidP="004C6051">
      <w:pPr>
        <w:adjustRightInd w:val="0"/>
        <w:ind w:left="-142"/>
        <w:rPr>
          <w:rFonts w:cs="Arial"/>
          <w:bCs/>
        </w:rPr>
      </w:pPr>
      <w:r w:rsidRPr="00E3552D">
        <w:rPr>
          <w:rFonts w:cs="Arial"/>
          <w:bCs/>
        </w:rPr>
        <w:t>Kim Salisbury</w:t>
      </w:r>
      <w:bookmarkStart w:id="0" w:name="_GoBack"/>
      <w:bookmarkEnd w:id="0"/>
    </w:p>
    <w:p w:rsidR="00E81FA3" w:rsidRPr="00E3552D" w:rsidRDefault="00E81FA3" w:rsidP="004C6051">
      <w:pPr>
        <w:adjustRightInd w:val="0"/>
        <w:ind w:left="-142"/>
        <w:rPr>
          <w:rFonts w:cs="Arial"/>
        </w:rPr>
      </w:pPr>
      <w:r w:rsidRPr="00E3552D">
        <w:rPr>
          <w:rFonts w:cs="Arial"/>
        </w:rPr>
        <w:t>Commissioner for ACT Revenue</w:t>
      </w:r>
    </w:p>
    <w:p w:rsidR="00E81FA3" w:rsidRPr="00E3552D" w:rsidRDefault="00644F9B" w:rsidP="004C6051">
      <w:pPr>
        <w:adjustRightInd w:val="0"/>
        <w:ind w:left="-142"/>
        <w:rPr>
          <w:rFonts w:cs="Arial"/>
          <w:bCs/>
        </w:rPr>
      </w:pPr>
      <w:r>
        <w:rPr>
          <w:rFonts w:cs="Arial"/>
          <w:bCs/>
        </w:rPr>
        <w:t>7 August</w:t>
      </w:r>
      <w:r w:rsidR="00E81FA3">
        <w:rPr>
          <w:rFonts w:cs="Arial"/>
          <w:bCs/>
        </w:rPr>
        <w:t xml:space="preserve"> 2015</w:t>
      </w:r>
    </w:p>
    <w:p w:rsidR="00F44A8D" w:rsidRPr="00310E54" w:rsidRDefault="00F44A8D" w:rsidP="004C6051">
      <w:pPr>
        <w:widowControl/>
        <w:suppressAutoHyphens w:val="0"/>
        <w:autoSpaceDE/>
        <w:autoSpaceDN/>
        <w:ind w:left="-142"/>
        <w:jc w:val="both"/>
        <w:textAlignment w:val="auto"/>
        <w:rPr>
          <w:rFonts w:cs="Arial"/>
          <w:bCs/>
        </w:rPr>
      </w:pPr>
    </w:p>
    <w:sectPr w:rsidR="00F44A8D" w:rsidRPr="00310E54" w:rsidSect="009D4240">
      <w:pgSz w:w="11910" w:h="16840" w:code="9"/>
      <w:pgMar w:top="709" w:right="992" w:bottom="1100" w:left="993"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741" w:rsidRDefault="00AD4741" w:rsidP="005B0828">
      <w:r>
        <w:separator/>
      </w:r>
    </w:p>
  </w:endnote>
  <w:endnote w:type="continuationSeparator" w:id="0">
    <w:p w:rsidR="00AD4741" w:rsidRDefault="00AD4741" w:rsidP="005B08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741" w:rsidRDefault="00AD4741">
    <w:pPr>
      <w:pStyle w:val="BodyText"/>
      <w:overflowPunct w:val="0"/>
      <w:spacing w:line="12" w:lineRule="auto"/>
      <w:rPr>
        <w:rFonts w:ascii="Times New Roman" w:hAnsi="Times New Roman" w:cs="Times New Roman"/>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741" w:rsidRPr="00F44A8D" w:rsidRDefault="00AD4741" w:rsidP="00F44A8D">
    <w:pPr>
      <w:jc w:val="center"/>
    </w:pPr>
    <w:r w:rsidRPr="00BA070A">
      <w:rPr>
        <w:b/>
        <w:sz w:val="18"/>
        <w:szCs w:val="18"/>
        <w:lang w:val="it-IT"/>
      </w:rPr>
      <w:t xml:space="preserve">PO Box 293, Civic Square ACT 2608  |  phone: 6207 0028  |  </w:t>
    </w:r>
    <w:hyperlink r:id="rId1" w:history="1">
      <w:r w:rsidRPr="00BA070A">
        <w:rPr>
          <w:rStyle w:val="Hyperlink"/>
          <w:b/>
          <w:sz w:val="18"/>
          <w:szCs w:val="18"/>
          <w:lang w:val="it-IT"/>
        </w:rPr>
        <w:t>www.revenue.act.gov.au</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741" w:rsidRDefault="00AD4741" w:rsidP="005B0828">
      <w:r w:rsidRPr="005B0828">
        <w:rPr>
          <w:color w:val="000000"/>
        </w:rPr>
        <w:separator/>
      </w:r>
    </w:p>
  </w:footnote>
  <w:footnote w:type="continuationSeparator" w:id="0">
    <w:p w:rsidR="00AD4741" w:rsidRDefault="00AD4741" w:rsidP="005B08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741" w:rsidRDefault="00AD4741" w:rsidP="00822F9C">
    <w:pPr>
      <w:pStyle w:val="Header"/>
      <w:tabs>
        <w:tab w:val="clear" w:pos="4513"/>
        <w:tab w:val="clear" w:pos="9026"/>
      </w:tabs>
      <w:ind w:left="-70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739C8"/>
    <w:multiLevelType w:val="hybridMultilevel"/>
    <w:tmpl w:val="DF16F6E4"/>
    <w:lvl w:ilvl="0" w:tplc="E1565F5E">
      <w:start w:val="1"/>
      <w:numFmt w:val="lowerLetter"/>
      <w:lvlText w:val="(%1)"/>
      <w:lvlJc w:val="left"/>
      <w:pPr>
        <w:tabs>
          <w:tab w:val="num" w:pos="1080"/>
        </w:tabs>
        <w:ind w:left="108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nsid w:val="0B073F2B"/>
    <w:multiLevelType w:val="hybridMultilevel"/>
    <w:tmpl w:val="F4B692FC"/>
    <w:lvl w:ilvl="0" w:tplc="85B0232A">
      <w:start w:val="1"/>
      <w:numFmt w:val="decimal"/>
      <w:lvlText w:val="%1."/>
      <w:lvlJc w:val="left"/>
      <w:pPr>
        <w:ind w:left="7874" w:hanging="360"/>
      </w:pPr>
      <w:rPr>
        <w:rFonts w:cs="Times New Roman"/>
        <w:b w:val="0"/>
        <w:i w:val="0"/>
      </w:rPr>
    </w:lvl>
    <w:lvl w:ilvl="1" w:tplc="4B348924">
      <w:start w:val="1"/>
      <w:numFmt w:val="lowerLetter"/>
      <w:lvlText w:val="%2."/>
      <w:lvlJc w:val="left"/>
      <w:pPr>
        <w:ind w:left="1440"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
    <w:nsid w:val="2A8C7523"/>
    <w:multiLevelType w:val="hybridMultilevel"/>
    <w:tmpl w:val="4B6CFB5E"/>
    <w:lvl w:ilvl="0" w:tplc="E1565F5E">
      <w:start w:val="1"/>
      <w:numFmt w:val="lowerLetter"/>
      <w:lvlText w:val="(%1)"/>
      <w:lvlJc w:val="left"/>
      <w:pPr>
        <w:tabs>
          <w:tab w:val="num" w:pos="1080"/>
        </w:tabs>
        <w:ind w:left="1080" w:hanging="720"/>
      </w:pPr>
      <w:rPr>
        <w:rFonts w:cs="Times New Roman" w:hint="default"/>
      </w:rPr>
    </w:lvl>
    <w:lvl w:ilvl="1" w:tplc="0D20C3D0">
      <w:start w:val="1"/>
      <w:numFmt w:val="lowerRoman"/>
      <w:lvlText w:val="(%2)"/>
      <w:lvlJc w:val="left"/>
      <w:pPr>
        <w:tabs>
          <w:tab w:val="num" w:pos="1800"/>
        </w:tabs>
        <w:ind w:left="1800" w:hanging="720"/>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nsid w:val="36F2109A"/>
    <w:multiLevelType w:val="hybridMultilevel"/>
    <w:tmpl w:val="41C81D14"/>
    <w:lvl w:ilvl="0" w:tplc="0C090001">
      <w:start w:val="91"/>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73D6B70"/>
    <w:multiLevelType w:val="hybridMultilevel"/>
    <w:tmpl w:val="EE1E95B2"/>
    <w:lvl w:ilvl="0" w:tplc="E1565F5E">
      <w:start w:val="1"/>
      <w:numFmt w:val="lowerLetter"/>
      <w:lvlText w:val="(%1)"/>
      <w:lvlJc w:val="left"/>
      <w:pPr>
        <w:tabs>
          <w:tab w:val="num" w:pos="1080"/>
        </w:tabs>
        <w:ind w:left="108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nsid w:val="453845B3"/>
    <w:multiLevelType w:val="hybridMultilevel"/>
    <w:tmpl w:val="F4B692FC"/>
    <w:lvl w:ilvl="0" w:tplc="85B0232A">
      <w:start w:val="1"/>
      <w:numFmt w:val="decimal"/>
      <w:lvlText w:val="%1."/>
      <w:lvlJc w:val="left"/>
      <w:pPr>
        <w:ind w:left="720" w:hanging="360"/>
      </w:pPr>
      <w:rPr>
        <w:rFonts w:cs="Times New Roman"/>
        <w:b w:val="0"/>
        <w:i w:val="0"/>
      </w:rPr>
    </w:lvl>
    <w:lvl w:ilvl="1" w:tplc="4B348924">
      <w:start w:val="1"/>
      <w:numFmt w:val="lowerLetter"/>
      <w:lvlText w:val="%2."/>
      <w:lvlJc w:val="left"/>
      <w:pPr>
        <w:ind w:left="1637"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6">
    <w:nsid w:val="45AC0ABC"/>
    <w:multiLevelType w:val="hybridMultilevel"/>
    <w:tmpl w:val="E2F45A08"/>
    <w:lvl w:ilvl="0" w:tplc="E1565F5E">
      <w:start w:val="1"/>
      <w:numFmt w:val="lowerLetter"/>
      <w:lvlText w:val="(%1)"/>
      <w:lvlJc w:val="left"/>
      <w:pPr>
        <w:tabs>
          <w:tab w:val="num" w:pos="1080"/>
        </w:tabs>
        <w:ind w:left="108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
    <w:nsid w:val="4CF63570"/>
    <w:multiLevelType w:val="hybridMultilevel"/>
    <w:tmpl w:val="8796EBB4"/>
    <w:lvl w:ilvl="0" w:tplc="E1565F5E">
      <w:start w:val="1"/>
      <w:numFmt w:val="lowerLetter"/>
      <w:lvlText w:val="(%1)"/>
      <w:lvlJc w:val="left"/>
      <w:pPr>
        <w:tabs>
          <w:tab w:val="num" w:pos="1080"/>
        </w:tabs>
        <w:ind w:left="108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nsid w:val="50C00C7F"/>
    <w:multiLevelType w:val="hybridMultilevel"/>
    <w:tmpl w:val="ECD689CC"/>
    <w:lvl w:ilvl="0" w:tplc="4BBCBCF8">
      <w:start w:val="201"/>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0F22D4E"/>
    <w:multiLevelType w:val="hybridMultilevel"/>
    <w:tmpl w:val="A120EC7E"/>
    <w:lvl w:ilvl="0" w:tplc="E1565F5E">
      <w:start w:val="1"/>
      <w:numFmt w:val="lowerLetter"/>
      <w:lvlText w:val="(%1)"/>
      <w:lvlJc w:val="left"/>
      <w:pPr>
        <w:tabs>
          <w:tab w:val="num" w:pos="1080"/>
        </w:tabs>
        <w:ind w:left="108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3"/>
  </w:num>
  <w:num w:numId="5">
    <w:abstractNumId w:val="8"/>
  </w:num>
  <w:num w:numId="6">
    <w:abstractNumId w:val="6"/>
  </w:num>
  <w:num w:numId="7">
    <w:abstractNumId w:val="4"/>
  </w:num>
  <w:num w:numId="8">
    <w:abstractNumId w:val="9"/>
  </w:num>
  <w:num w:numId="9">
    <w:abstractNumId w:val="7"/>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rsids>
    <w:rsidRoot w:val="005B0828"/>
    <w:rsid w:val="000A00F3"/>
    <w:rsid w:val="000D649E"/>
    <w:rsid w:val="000D64C3"/>
    <w:rsid w:val="00193116"/>
    <w:rsid w:val="00210C1D"/>
    <w:rsid w:val="002240B1"/>
    <w:rsid w:val="00244887"/>
    <w:rsid w:val="00275FAE"/>
    <w:rsid w:val="00282270"/>
    <w:rsid w:val="00310E54"/>
    <w:rsid w:val="00391CB7"/>
    <w:rsid w:val="004C6051"/>
    <w:rsid w:val="005B0828"/>
    <w:rsid w:val="00644F9B"/>
    <w:rsid w:val="006B0ECA"/>
    <w:rsid w:val="006B2035"/>
    <w:rsid w:val="00712A2B"/>
    <w:rsid w:val="00822F9C"/>
    <w:rsid w:val="00897C28"/>
    <w:rsid w:val="008B1CDE"/>
    <w:rsid w:val="00935584"/>
    <w:rsid w:val="0096709E"/>
    <w:rsid w:val="009D4240"/>
    <w:rsid w:val="00A812EA"/>
    <w:rsid w:val="00AD4741"/>
    <w:rsid w:val="00AF7801"/>
    <w:rsid w:val="00BB7D19"/>
    <w:rsid w:val="00BE0B6D"/>
    <w:rsid w:val="00BF64D2"/>
    <w:rsid w:val="00C24521"/>
    <w:rsid w:val="00C82405"/>
    <w:rsid w:val="00C8554F"/>
    <w:rsid w:val="00CD0ACD"/>
    <w:rsid w:val="00CD6913"/>
    <w:rsid w:val="00D167DC"/>
    <w:rsid w:val="00D908F9"/>
    <w:rsid w:val="00DA0B26"/>
    <w:rsid w:val="00DA6ED5"/>
    <w:rsid w:val="00E81FA3"/>
    <w:rsid w:val="00EB74B1"/>
    <w:rsid w:val="00F44A8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AU" w:eastAsia="en-AU"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0828"/>
    <w:pPr>
      <w:widowControl w:val="0"/>
      <w:suppressAutoHyphens/>
      <w:autoSpaceDE w:val="0"/>
      <w:spacing w:after="0" w:line="240" w:lineRule="auto"/>
    </w:pPr>
    <w:rPr>
      <w:rFonts w:cs="Calibri"/>
      <w:sz w:val="24"/>
      <w:szCs w:val="24"/>
    </w:rPr>
  </w:style>
  <w:style w:type="paragraph" w:styleId="Heading1">
    <w:name w:val="heading 1"/>
    <w:basedOn w:val="Normal"/>
    <w:next w:val="Normal"/>
    <w:rsid w:val="005B0828"/>
    <w:pPr>
      <w:spacing w:before="1" w:line="340" w:lineRule="exact"/>
      <w:ind w:left="652" w:hanging="432"/>
      <w:outlineLvl w:val="0"/>
    </w:pPr>
    <w:rPr>
      <w:b/>
      <w:bCs/>
      <w:sz w:val="28"/>
      <w:szCs w:val="28"/>
    </w:rPr>
  </w:style>
  <w:style w:type="paragraph" w:styleId="Heading2">
    <w:name w:val="heading 2"/>
    <w:basedOn w:val="Normal"/>
    <w:next w:val="Normal"/>
    <w:rsid w:val="005B0828"/>
    <w:pPr>
      <w:spacing w:before="110"/>
      <w:ind w:left="796" w:hanging="576"/>
      <w:outlineLvl w:val="1"/>
    </w:pPr>
    <w:rPr>
      <w:b/>
      <w:bCs/>
    </w:rPr>
  </w:style>
  <w:style w:type="paragraph" w:styleId="Heading3">
    <w:name w:val="heading 3"/>
    <w:basedOn w:val="Normal"/>
    <w:next w:val="Normal"/>
    <w:rsid w:val="005B0828"/>
    <w:pPr>
      <w:spacing w:before="57"/>
      <w:ind w:left="220"/>
      <w:outlineLvl w:val="2"/>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5B0828"/>
    <w:rPr>
      <w:rFonts w:ascii="Cambria" w:eastAsia="Times New Roman" w:hAnsi="Cambria" w:cs="Times New Roman"/>
      <w:b/>
      <w:bCs/>
      <w:kern w:val="3"/>
      <w:sz w:val="32"/>
      <w:szCs w:val="32"/>
    </w:rPr>
  </w:style>
  <w:style w:type="character" w:customStyle="1" w:styleId="Heading2Char">
    <w:name w:val="Heading 2 Char"/>
    <w:basedOn w:val="DefaultParagraphFont"/>
    <w:rsid w:val="005B0828"/>
    <w:rPr>
      <w:rFonts w:ascii="Cambria" w:eastAsia="Times New Roman" w:hAnsi="Cambria" w:cs="Times New Roman"/>
      <w:b/>
      <w:bCs/>
      <w:i/>
      <w:iCs/>
      <w:sz w:val="28"/>
      <w:szCs w:val="28"/>
    </w:rPr>
  </w:style>
  <w:style w:type="character" w:customStyle="1" w:styleId="Heading3Char">
    <w:name w:val="Heading 3 Char"/>
    <w:basedOn w:val="DefaultParagraphFont"/>
    <w:rsid w:val="005B0828"/>
    <w:rPr>
      <w:rFonts w:ascii="Cambria" w:eastAsia="Times New Roman" w:hAnsi="Cambria" w:cs="Times New Roman"/>
      <w:b/>
      <w:bCs/>
      <w:sz w:val="26"/>
      <w:szCs w:val="26"/>
    </w:rPr>
  </w:style>
  <w:style w:type="paragraph" w:styleId="BodyText">
    <w:name w:val="Body Text"/>
    <w:basedOn w:val="Normal"/>
    <w:rsid w:val="005B0828"/>
    <w:rPr>
      <w:sz w:val="22"/>
      <w:szCs w:val="22"/>
    </w:rPr>
  </w:style>
  <w:style w:type="character" w:customStyle="1" w:styleId="BodyTextChar">
    <w:name w:val="Body Text Char"/>
    <w:basedOn w:val="DefaultParagraphFont"/>
    <w:rsid w:val="005B0828"/>
    <w:rPr>
      <w:rFonts w:ascii="Calibri" w:hAnsi="Calibri" w:cs="Calibri"/>
      <w:sz w:val="24"/>
      <w:szCs w:val="24"/>
    </w:rPr>
  </w:style>
  <w:style w:type="paragraph" w:styleId="ListParagraph">
    <w:name w:val="List Paragraph"/>
    <w:basedOn w:val="Normal"/>
    <w:uiPriority w:val="34"/>
    <w:qFormat/>
    <w:rsid w:val="005B0828"/>
    <w:pPr>
      <w:ind w:left="940" w:hanging="360"/>
    </w:pPr>
  </w:style>
  <w:style w:type="paragraph" w:customStyle="1" w:styleId="TableParagraph">
    <w:name w:val="Table Paragraph"/>
    <w:basedOn w:val="Normal"/>
    <w:rsid w:val="005B0828"/>
    <w:pPr>
      <w:ind w:left="103"/>
    </w:pPr>
  </w:style>
  <w:style w:type="paragraph" w:styleId="Header">
    <w:name w:val="header"/>
    <w:basedOn w:val="Normal"/>
    <w:rsid w:val="005B0828"/>
    <w:pPr>
      <w:tabs>
        <w:tab w:val="center" w:pos="4513"/>
        <w:tab w:val="right" w:pos="9026"/>
      </w:tabs>
    </w:pPr>
  </w:style>
  <w:style w:type="character" w:customStyle="1" w:styleId="HeaderChar">
    <w:name w:val="Header Char"/>
    <w:basedOn w:val="DefaultParagraphFont"/>
    <w:rsid w:val="005B0828"/>
    <w:rPr>
      <w:rFonts w:ascii="Calibri" w:hAnsi="Calibri" w:cs="Calibri"/>
      <w:sz w:val="24"/>
      <w:szCs w:val="24"/>
    </w:rPr>
  </w:style>
  <w:style w:type="paragraph" w:styleId="Footer">
    <w:name w:val="footer"/>
    <w:basedOn w:val="Normal"/>
    <w:uiPriority w:val="99"/>
    <w:rsid w:val="005B0828"/>
    <w:pPr>
      <w:tabs>
        <w:tab w:val="center" w:pos="4513"/>
        <w:tab w:val="right" w:pos="9026"/>
      </w:tabs>
    </w:pPr>
  </w:style>
  <w:style w:type="character" w:customStyle="1" w:styleId="FooterChar">
    <w:name w:val="Footer Char"/>
    <w:basedOn w:val="DefaultParagraphFont"/>
    <w:uiPriority w:val="99"/>
    <w:rsid w:val="005B0828"/>
    <w:rPr>
      <w:rFonts w:ascii="Calibri" w:hAnsi="Calibri" w:cs="Calibri"/>
      <w:sz w:val="24"/>
      <w:szCs w:val="24"/>
    </w:rPr>
  </w:style>
  <w:style w:type="paragraph" w:styleId="BalloonText">
    <w:name w:val="Balloon Text"/>
    <w:basedOn w:val="Normal"/>
    <w:rsid w:val="005B0828"/>
    <w:rPr>
      <w:rFonts w:ascii="Tahoma" w:hAnsi="Tahoma" w:cs="Tahoma"/>
      <w:sz w:val="16"/>
      <w:szCs w:val="16"/>
    </w:rPr>
  </w:style>
  <w:style w:type="character" w:customStyle="1" w:styleId="BalloonTextChar">
    <w:name w:val="Balloon Text Char"/>
    <w:basedOn w:val="DefaultParagraphFont"/>
    <w:rsid w:val="005B0828"/>
    <w:rPr>
      <w:rFonts w:ascii="Tahoma" w:hAnsi="Tahoma" w:cs="Tahoma"/>
      <w:sz w:val="16"/>
      <w:szCs w:val="16"/>
    </w:rPr>
  </w:style>
  <w:style w:type="character" w:styleId="Hyperlink">
    <w:name w:val="Hyperlink"/>
    <w:basedOn w:val="DefaultParagraphFont"/>
    <w:uiPriority w:val="99"/>
    <w:semiHidden/>
    <w:unhideWhenUsed/>
    <w:rsid w:val="00275FAE"/>
    <w:rPr>
      <w:color w:val="004899"/>
      <w:u w:val="single"/>
    </w:rPr>
  </w:style>
  <w:style w:type="character" w:styleId="Strong">
    <w:name w:val="Strong"/>
    <w:basedOn w:val="DefaultParagraphFont"/>
    <w:uiPriority w:val="22"/>
    <w:qFormat/>
    <w:rsid w:val="00275FAE"/>
    <w:rPr>
      <w:b/>
      <w:bCs/>
    </w:rPr>
  </w:style>
  <w:style w:type="paragraph" w:styleId="NormalWeb">
    <w:name w:val="Normal (Web)"/>
    <w:basedOn w:val="Normal"/>
    <w:uiPriority w:val="99"/>
    <w:semiHidden/>
    <w:unhideWhenUsed/>
    <w:rsid w:val="00275FAE"/>
    <w:pPr>
      <w:widowControl/>
      <w:suppressAutoHyphens w:val="0"/>
      <w:autoSpaceDE/>
      <w:autoSpaceDN/>
      <w:spacing w:before="168" w:after="168"/>
      <w:textAlignment w:val="auto"/>
    </w:pPr>
    <w:rPr>
      <w:rFonts w:ascii="Times New Roman" w:hAnsi="Times New Roman" w:cs="Times New Roman"/>
    </w:rPr>
  </w:style>
  <w:style w:type="character" w:styleId="FollowedHyperlink">
    <w:name w:val="FollowedHyperlink"/>
    <w:basedOn w:val="DefaultParagraphFont"/>
    <w:uiPriority w:val="99"/>
    <w:semiHidden/>
    <w:unhideWhenUsed/>
    <w:rsid w:val="00275FAE"/>
    <w:rPr>
      <w:color w:val="800080" w:themeColor="followedHyperlink"/>
      <w:u w:val="single"/>
    </w:rPr>
  </w:style>
  <w:style w:type="paragraph" w:styleId="PlainText">
    <w:name w:val="Plain Text"/>
    <w:basedOn w:val="Normal"/>
    <w:link w:val="PlainTextChar"/>
    <w:uiPriority w:val="99"/>
    <w:unhideWhenUsed/>
    <w:rsid w:val="00E81FA3"/>
    <w:pPr>
      <w:widowControl/>
      <w:suppressAutoHyphens w:val="0"/>
      <w:autoSpaceDE/>
      <w:autoSpaceDN/>
      <w:jc w:val="both"/>
      <w:textAlignment w:val="auto"/>
    </w:pPr>
    <w:rPr>
      <w:rFonts w:ascii="Verdana" w:hAnsi="Verdana" w:cs="Times New Roman"/>
      <w:sz w:val="20"/>
      <w:szCs w:val="21"/>
      <w:lang w:val="en-US" w:eastAsia="en-US"/>
    </w:rPr>
  </w:style>
  <w:style w:type="character" w:customStyle="1" w:styleId="PlainTextChar">
    <w:name w:val="Plain Text Char"/>
    <w:basedOn w:val="DefaultParagraphFont"/>
    <w:link w:val="PlainText"/>
    <w:uiPriority w:val="99"/>
    <w:rsid w:val="00E81FA3"/>
    <w:rPr>
      <w:rFonts w:ascii="Verdana" w:hAnsi="Verdana"/>
      <w:sz w:val="20"/>
      <w:szCs w:val="21"/>
      <w:lang w:val="en-US" w:eastAsia="en-US"/>
    </w:rPr>
  </w:style>
  <w:style w:type="table" w:styleId="TableGrid">
    <w:name w:val="Table Grid"/>
    <w:basedOn w:val="TableNormal"/>
    <w:uiPriority w:val="99"/>
    <w:rsid w:val="009D4240"/>
    <w:pPr>
      <w:autoSpaceDN/>
      <w:spacing w:after="0" w:line="240" w:lineRule="auto"/>
      <w:textAlignment w:val="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AU" w:eastAsia="en-AU"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0828"/>
    <w:pPr>
      <w:widowControl w:val="0"/>
      <w:suppressAutoHyphens/>
      <w:autoSpaceDE w:val="0"/>
      <w:spacing w:after="0" w:line="240" w:lineRule="auto"/>
    </w:pPr>
    <w:rPr>
      <w:rFonts w:cs="Calibri"/>
      <w:sz w:val="24"/>
      <w:szCs w:val="24"/>
    </w:rPr>
  </w:style>
  <w:style w:type="paragraph" w:styleId="Heading1">
    <w:name w:val="heading 1"/>
    <w:basedOn w:val="Normal"/>
    <w:next w:val="Normal"/>
    <w:rsid w:val="005B0828"/>
    <w:pPr>
      <w:spacing w:before="1" w:line="340" w:lineRule="exact"/>
      <w:ind w:left="652" w:hanging="432"/>
      <w:outlineLvl w:val="0"/>
    </w:pPr>
    <w:rPr>
      <w:b/>
      <w:bCs/>
      <w:sz w:val="28"/>
      <w:szCs w:val="28"/>
    </w:rPr>
  </w:style>
  <w:style w:type="paragraph" w:styleId="Heading2">
    <w:name w:val="heading 2"/>
    <w:basedOn w:val="Normal"/>
    <w:next w:val="Normal"/>
    <w:rsid w:val="005B0828"/>
    <w:pPr>
      <w:spacing w:before="110"/>
      <w:ind w:left="796" w:hanging="576"/>
      <w:outlineLvl w:val="1"/>
    </w:pPr>
    <w:rPr>
      <w:b/>
      <w:bCs/>
    </w:rPr>
  </w:style>
  <w:style w:type="paragraph" w:styleId="Heading3">
    <w:name w:val="heading 3"/>
    <w:basedOn w:val="Normal"/>
    <w:next w:val="Normal"/>
    <w:rsid w:val="005B0828"/>
    <w:pPr>
      <w:spacing w:before="57"/>
      <w:ind w:left="220"/>
      <w:outlineLvl w:val="2"/>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5B0828"/>
    <w:rPr>
      <w:rFonts w:ascii="Cambria" w:eastAsia="Times New Roman" w:hAnsi="Cambria" w:cs="Times New Roman"/>
      <w:b/>
      <w:bCs/>
      <w:kern w:val="3"/>
      <w:sz w:val="32"/>
      <w:szCs w:val="32"/>
    </w:rPr>
  </w:style>
  <w:style w:type="character" w:customStyle="1" w:styleId="Heading2Char">
    <w:name w:val="Heading 2 Char"/>
    <w:basedOn w:val="DefaultParagraphFont"/>
    <w:rsid w:val="005B0828"/>
    <w:rPr>
      <w:rFonts w:ascii="Cambria" w:eastAsia="Times New Roman" w:hAnsi="Cambria" w:cs="Times New Roman"/>
      <w:b/>
      <w:bCs/>
      <w:i/>
      <w:iCs/>
      <w:sz w:val="28"/>
      <w:szCs w:val="28"/>
    </w:rPr>
  </w:style>
  <w:style w:type="character" w:customStyle="1" w:styleId="Heading3Char">
    <w:name w:val="Heading 3 Char"/>
    <w:basedOn w:val="DefaultParagraphFont"/>
    <w:rsid w:val="005B0828"/>
    <w:rPr>
      <w:rFonts w:ascii="Cambria" w:eastAsia="Times New Roman" w:hAnsi="Cambria" w:cs="Times New Roman"/>
      <w:b/>
      <w:bCs/>
      <w:sz w:val="26"/>
      <w:szCs w:val="26"/>
    </w:rPr>
  </w:style>
  <w:style w:type="paragraph" w:styleId="BodyText">
    <w:name w:val="Body Text"/>
    <w:basedOn w:val="Normal"/>
    <w:rsid w:val="005B0828"/>
    <w:rPr>
      <w:sz w:val="22"/>
      <w:szCs w:val="22"/>
    </w:rPr>
  </w:style>
  <w:style w:type="character" w:customStyle="1" w:styleId="BodyTextChar">
    <w:name w:val="Body Text Char"/>
    <w:basedOn w:val="DefaultParagraphFont"/>
    <w:rsid w:val="005B0828"/>
    <w:rPr>
      <w:rFonts w:ascii="Calibri" w:hAnsi="Calibri" w:cs="Calibri"/>
      <w:sz w:val="24"/>
      <w:szCs w:val="24"/>
    </w:rPr>
  </w:style>
  <w:style w:type="paragraph" w:styleId="ListParagraph">
    <w:name w:val="List Paragraph"/>
    <w:basedOn w:val="Normal"/>
    <w:uiPriority w:val="34"/>
    <w:qFormat/>
    <w:rsid w:val="005B0828"/>
    <w:pPr>
      <w:ind w:left="940" w:hanging="360"/>
    </w:pPr>
  </w:style>
  <w:style w:type="paragraph" w:customStyle="1" w:styleId="TableParagraph">
    <w:name w:val="Table Paragraph"/>
    <w:basedOn w:val="Normal"/>
    <w:rsid w:val="005B0828"/>
    <w:pPr>
      <w:ind w:left="103"/>
    </w:pPr>
  </w:style>
  <w:style w:type="paragraph" w:styleId="Header">
    <w:name w:val="header"/>
    <w:basedOn w:val="Normal"/>
    <w:rsid w:val="005B0828"/>
    <w:pPr>
      <w:tabs>
        <w:tab w:val="center" w:pos="4513"/>
        <w:tab w:val="right" w:pos="9026"/>
      </w:tabs>
    </w:pPr>
  </w:style>
  <w:style w:type="character" w:customStyle="1" w:styleId="HeaderChar">
    <w:name w:val="Header Char"/>
    <w:basedOn w:val="DefaultParagraphFont"/>
    <w:rsid w:val="005B0828"/>
    <w:rPr>
      <w:rFonts w:ascii="Calibri" w:hAnsi="Calibri" w:cs="Calibri"/>
      <w:sz w:val="24"/>
      <w:szCs w:val="24"/>
    </w:rPr>
  </w:style>
  <w:style w:type="paragraph" w:styleId="Footer">
    <w:name w:val="footer"/>
    <w:basedOn w:val="Normal"/>
    <w:uiPriority w:val="99"/>
    <w:rsid w:val="005B0828"/>
    <w:pPr>
      <w:tabs>
        <w:tab w:val="center" w:pos="4513"/>
        <w:tab w:val="right" w:pos="9026"/>
      </w:tabs>
    </w:pPr>
  </w:style>
  <w:style w:type="character" w:customStyle="1" w:styleId="FooterChar">
    <w:name w:val="Footer Char"/>
    <w:basedOn w:val="DefaultParagraphFont"/>
    <w:uiPriority w:val="99"/>
    <w:rsid w:val="005B0828"/>
    <w:rPr>
      <w:rFonts w:ascii="Calibri" w:hAnsi="Calibri" w:cs="Calibri"/>
      <w:sz w:val="24"/>
      <w:szCs w:val="24"/>
    </w:rPr>
  </w:style>
  <w:style w:type="paragraph" w:styleId="BalloonText">
    <w:name w:val="Balloon Text"/>
    <w:basedOn w:val="Normal"/>
    <w:rsid w:val="005B0828"/>
    <w:rPr>
      <w:rFonts w:ascii="Tahoma" w:hAnsi="Tahoma" w:cs="Tahoma"/>
      <w:sz w:val="16"/>
      <w:szCs w:val="16"/>
    </w:rPr>
  </w:style>
  <w:style w:type="character" w:customStyle="1" w:styleId="BalloonTextChar">
    <w:name w:val="Balloon Text Char"/>
    <w:basedOn w:val="DefaultParagraphFont"/>
    <w:rsid w:val="005B0828"/>
    <w:rPr>
      <w:rFonts w:ascii="Tahoma" w:hAnsi="Tahoma" w:cs="Tahoma"/>
      <w:sz w:val="16"/>
      <w:szCs w:val="16"/>
    </w:rPr>
  </w:style>
  <w:style w:type="character" w:styleId="Hyperlink">
    <w:name w:val="Hyperlink"/>
    <w:basedOn w:val="DefaultParagraphFont"/>
    <w:uiPriority w:val="99"/>
    <w:semiHidden/>
    <w:unhideWhenUsed/>
    <w:rsid w:val="00275FAE"/>
    <w:rPr>
      <w:color w:val="004899"/>
      <w:u w:val="single"/>
    </w:rPr>
  </w:style>
  <w:style w:type="character" w:styleId="Strong">
    <w:name w:val="Strong"/>
    <w:basedOn w:val="DefaultParagraphFont"/>
    <w:uiPriority w:val="22"/>
    <w:qFormat/>
    <w:rsid w:val="00275FAE"/>
    <w:rPr>
      <w:b/>
      <w:bCs/>
    </w:rPr>
  </w:style>
  <w:style w:type="paragraph" w:styleId="NormalWeb">
    <w:name w:val="Normal (Web)"/>
    <w:basedOn w:val="Normal"/>
    <w:uiPriority w:val="99"/>
    <w:semiHidden/>
    <w:unhideWhenUsed/>
    <w:rsid w:val="00275FAE"/>
    <w:pPr>
      <w:widowControl/>
      <w:suppressAutoHyphens w:val="0"/>
      <w:autoSpaceDE/>
      <w:autoSpaceDN/>
      <w:spacing w:before="168" w:after="168"/>
      <w:textAlignment w:val="auto"/>
    </w:pPr>
    <w:rPr>
      <w:rFonts w:ascii="Times New Roman" w:hAnsi="Times New Roman" w:cs="Times New Roman"/>
    </w:rPr>
  </w:style>
  <w:style w:type="character" w:styleId="FollowedHyperlink">
    <w:name w:val="FollowedHyperlink"/>
    <w:basedOn w:val="DefaultParagraphFont"/>
    <w:uiPriority w:val="99"/>
    <w:semiHidden/>
    <w:unhideWhenUsed/>
    <w:rsid w:val="00275FAE"/>
    <w:rPr>
      <w:color w:val="800080" w:themeColor="followedHyperlink"/>
      <w:u w:val="single"/>
    </w:rPr>
  </w:style>
  <w:style w:type="paragraph" w:styleId="PlainText">
    <w:name w:val="Plain Text"/>
    <w:basedOn w:val="Normal"/>
    <w:link w:val="PlainTextChar"/>
    <w:uiPriority w:val="99"/>
    <w:unhideWhenUsed/>
    <w:rsid w:val="00E81FA3"/>
    <w:pPr>
      <w:widowControl/>
      <w:suppressAutoHyphens w:val="0"/>
      <w:autoSpaceDE/>
      <w:autoSpaceDN/>
      <w:jc w:val="both"/>
      <w:textAlignment w:val="auto"/>
    </w:pPr>
    <w:rPr>
      <w:rFonts w:ascii="Verdana" w:hAnsi="Verdana" w:cs="Times New Roman"/>
      <w:sz w:val="20"/>
      <w:szCs w:val="21"/>
      <w:lang w:val="en-US" w:eastAsia="en-US"/>
    </w:rPr>
  </w:style>
  <w:style w:type="character" w:customStyle="1" w:styleId="PlainTextChar">
    <w:name w:val="Plain Text Char"/>
    <w:basedOn w:val="DefaultParagraphFont"/>
    <w:link w:val="PlainText"/>
    <w:uiPriority w:val="99"/>
    <w:rsid w:val="00E81FA3"/>
    <w:rPr>
      <w:rFonts w:ascii="Verdana" w:hAnsi="Verdana"/>
      <w:sz w:val="20"/>
      <w:szCs w:val="21"/>
      <w:lang w:val="en-US" w:eastAsia="en-US"/>
    </w:rPr>
  </w:style>
  <w:style w:type="table" w:styleId="TableGrid">
    <w:name w:val="Table Grid"/>
    <w:basedOn w:val="TableNormal"/>
    <w:uiPriority w:val="99"/>
    <w:rsid w:val="009D4240"/>
    <w:pPr>
      <w:autoSpaceDN/>
      <w:spacing w:after="0" w:line="240" w:lineRule="auto"/>
      <w:textAlignment w:val="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908541463">
      <w:bodyDiv w:val="1"/>
      <w:marLeft w:val="0"/>
      <w:marRight w:val="0"/>
      <w:marTop w:val="0"/>
      <w:marBottom w:val="0"/>
      <w:divBdr>
        <w:top w:val="none" w:sz="0" w:space="0" w:color="auto"/>
        <w:left w:val="none" w:sz="0" w:space="0" w:color="auto"/>
        <w:bottom w:val="none" w:sz="0" w:space="0" w:color="auto"/>
        <w:right w:val="none" w:sz="0" w:space="0" w:color="auto"/>
      </w:divBdr>
    </w:div>
    <w:div w:id="1524899119">
      <w:bodyDiv w:val="1"/>
      <w:marLeft w:val="0"/>
      <w:marRight w:val="0"/>
      <w:marTop w:val="0"/>
      <w:marBottom w:val="0"/>
      <w:divBdr>
        <w:top w:val="none" w:sz="0" w:space="0" w:color="auto"/>
        <w:left w:val="none" w:sz="0" w:space="0" w:color="auto"/>
        <w:bottom w:val="none" w:sz="0" w:space="0" w:color="auto"/>
        <w:right w:val="none" w:sz="0" w:space="0" w:color="auto"/>
      </w:divBdr>
      <w:divsChild>
        <w:div w:id="2069181386">
          <w:marLeft w:val="0"/>
          <w:marRight w:val="0"/>
          <w:marTop w:val="0"/>
          <w:marBottom w:val="0"/>
          <w:divBdr>
            <w:top w:val="none" w:sz="0" w:space="0" w:color="auto"/>
            <w:left w:val="none" w:sz="0" w:space="0" w:color="auto"/>
            <w:bottom w:val="none" w:sz="0" w:space="0" w:color="auto"/>
            <w:right w:val="none" w:sz="0" w:space="0" w:color="auto"/>
          </w:divBdr>
          <w:divsChild>
            <w:div w:id="1461146743">
              <w:marLeft w:val="0"/>
              <w:marRight w:val="0"/>
              <w:marTop w:val="0"/>
              <w:marBottom w:val="0"/>
              <w:divBdr>
                <w:top w:val="none" w:sz="0" w:space="0" w:color="auto"/>
                <w:left w:val="none" w:sz="0" w:space="0" w:color="auto"/>
                <w:bottom w:val="none" w:sz="0" w:space="0" w:color="auto"/>
                <w:right w:val="none" w:sz="0" w:space="0" w:color="auto"/>
              </w:divBdr>
              <w:divsChild>
                <w:div w:id="1852135979">
                  <w:marLeft w:val="0"/>
                  <w:marRight w:val="0"/>
                  <w:marTop w:val="0"/>
                  <w:marBottom w:val="136"/>
                  <w:divBdr>
                    <w:top w:val="single" w:sz="6" w:space="5" w:color="143351"/>
                    <w:left w:val="single" w:sz="6" w:space="10" w:color="143351"/>
                    <w:bottom w:val="single" w:sz="6" w:space="5" w:color="143351"/>
                    <w:right w:val="single" w:sz="6" w:space="10" w:color="143351"/>
                  </w:divBdr>
                  <w:divsChild>
                    <w:div w:id="206290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hyperlink" Target="http://www.revenue.a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782D96-B89F-4BDC-8B25-B942C581D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962</Words>
  <Characters>4776</Characters>
  <Application>Microsoft Office Word</Application>
  <DocSecurity>0</DocSecurity>
  <Lines>107</Lines>
  <Paragraphs>67</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5688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Tereza Zilic</cp:lastModifiedBy>
  <cp:revision>6</cp:revision>
  <cp:lastPrinted>2017-05-08T23:51:00Z</cp:lastPrinted>
  <dcterms:created xsi:type="dcterms:W3CDTF">2017-05-27T10:53:00Z</dcterms:created>
  <dcterms:modified xsi:type="dcterms:W3CDTF">2017-06-09T02:05:00Z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